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EFCC8" w14:textId="77777777" w:rsidR="00D02216" w:rsidRDefault="00D02216">
      <w:pPr>
        <w:jc w:val="right"/>
        <w:rPr>
          <w:rFonts w:ascii="Cambria" w:hAnsi="Cambria"/>
          <w:szCs w:val="24"/>
          <w:lang w:val="hr-HR"/>
        </w:rPr>
      </w:pPr>
    </w:p>
    <w:p w14:paraId="2BA45967" w14:textId="77777777" w:rsidR="00D02216" w:rsidRDefault="00D02216">
      <w:pPr>
        <w:jc w:val="right"/>
        <w:rPr>
          <w:rFonts w:ascii="Cambria" w:hAnsi="Cambria"/>
          <w:i/>
          <w:sz w:val="22"/>
          <w:szCs w:val="22"/>
          <w:lang w:val="hr-HR"/>
        </w:rPr>
      </w:pPr>
    </w:p>
    <w:p w14:paraId="5B06889A" w14:textId="77777777" w:rsidR="00D02216" w:rsidRDefault="004A75BF">
      <w:pPr>
        <w:jc w:val="right"/>
        <w:rPr>
          <w:rFonts w:asciiTheme="majorHAnsi" w:hAnsiTheme="majorHAnsi" w:cstheme="majorHAnsi"/>
          <w:iCs/>
          <w:sz w:val="22"/>
          <w:szCs w:val="22"/>
          <w:lang w:val="hr-HR"/>
        </w:rPr>
      </w:pPr>
      <w:r>
        <w:rPr>
          <w:rFonts w:asciiTheme="majorHAnsi" w:hAnsiTheme="majorHAnsi" w:cstheme="majorHAnsi"/>
          <w:iCs/>
          <w:sz w:val="22"/>
          <w:szCs w:val="22"/>
          <w:lang w:val="hr-HR"/>
        </w:rPr>
        <w:t>PRIOPĆENJE ZA MEDIJE</w:t>
      </w:r>
    </w:p>
    <w:p w14:paraId="109DFE4C" w14:textId="77777777" w:rsidR="00D02216" w:rsidRDefault="00D02216">
      <w:pPr>
        <w:jc w:val="both"/>
        <w:rPr>
          <w:rFonts w:asciiTheme="majorHAnsi" w:hAnsiTheme="majorHAnsi" w:cstheme="majorHAnsi"/>
          <w:sz w:val="22"/>
          <w:szCs w:val="22"/>
          <w:lang w:val="hr-HR"/>
        </w:rPr>
      </w:pPr>
    </w:p>
    <w:p w14:paraId="1831584B" w14:textId="77777777" w:rsidR="00D02216" w:rsidRDefault="004A75BF">
      <w:pPr>
        <w:shd w:val="clear" w:color="auto" w:fill="FFFFFF"/>
        <w:jc w:val="center"/>
        <w:outlineLvl w:val="0"/>
        <w:rPr>
          <w:rFonts w:asciiTheme="majorHAnsi" w:hAnsiTheme="majorHAnsi" w:cstheme="majorHAnsi"/>
          <w:b/>
          <w:bCs/>
          <w:color w:val="191919"/>
          <w:kern w:val="36"/>
          <w:sz w:val="36"/>
          <w:szCs w:val="36"/>
          <w:lang w:val="hr-HR" w:eastAsia="hr-HR"/>
        </w:rPr>
      </w:pPr>
      <w:r>
        <w:rPr>
          <w:rFonts w:asciiTheme="majorHAnsi" w:hAnsiTheme="majorHAnsi" w:cstheme="majorHAnsi"/>
          <w:b/>
          <w:bCs/>
          <w:color w:val="191919"/>
          <w:kern w:val="36"/>
          <w:sz w:val="36"/>
          <w:szCs w:val="36"/>
          <w:lang w:val="hr-HR" w:eastAsia="hr-HR"/>
        </w:rPr>
        <w:t xml:space="preserve">Usvojen program rada i financijski plan </w:t>
      </w:r>
    </w:p>
    <w:p w14:paraId="3814EEF1" w14:textId="77777777" w:rsidR="00D02216" w:rsidRDefault="004A75BF">
      <w:pPr>
        <w:shd w:val="clear" w:color="auto" w:fill="FFFFFF"/>
        <w:jc w:val="center"/>
        <w:outlineLvl w:val="0"/>
        <w:rPr>
          <w:rFonts w:asciiTheme="majorHAnsi" w:hAnsiTheme="majorHAnsi" w:cstheme="majorHAnsi"/>
          <w:b/>
          <w:bCs/>
          <w:color w:val="191919"/>
          <w:kern w:val="36"/>
          <w:sz w:val="36"/>
          <w:szCs w:val="36"/>
          <w:lang w:val="hr-HR" w:eastAsia="hr-HR"/>
        </w:rPr>
      </w:pPr>
      <w:r>
        <w:rPr>
          <w:rFonts w:asciiTheme="majorHAnsi" w:hAnsiTheme="majorHAnsi" w:cstheme="majorHAnsi"/>
          <w:b/>
          <w:bCs/>
          <w:color w:val="191919"/>
          <w:kern w:val="36"/>
          <w:sz w:val="36"/>
          <w:szCs w:val="36"/>
          <w:lang w:val="hr-HR" w:eastAsia="hr-HR"/>
        </w:rPr>
        <w:t>Turističke zajednice grada Poreča za 2020.</w:t>
      </w:r>
    </w:p>
    <w:p w14:paraId="161F6826" w14:textId="77777777" w:rsidR="00D02216" w:rsidRDefault="00D02216">
      <w:pPr>
        <w:snapToGrid w:val="0"/>
        <w:spacing w:line="276" w:lineRule="auto"/>
        <w:jc w:val="both"/>
        <w:rPr>
          <w:rFonts w:asciiTheme="majorHAnsi" w:hAnsiTheme="majorHAnsi" w:cstheme="majorHAnsi"/>
          <w:sz w:val="22"/>
          <w:szCs w:val="22"/>
          <w:lang w:val="hr-HR"/>
        </w:rPr>
      </w:pPr>
    </w:p>
    <w:p w14:paraId="4DEB300D" w14:textId="77777777" w:rsidR="00D02216" w:rsidRDefault="004A75BF">
      <w:pPr>
        <w:jc w:val="both"/>
        <w:rPr>
          <w:rFonts w:asciiTheme="majorHAnsi" w:hAnsiTheme="majorHAnsi" w:cstheme="majorHAnsi"/>
          <w:b/>
          <w:bCs/>
          <w:sz w:val="28"/>
          <w:szCs w:val="28"/>
          <w:lang w:val="hr-HR"/>
        </w:rPr>
      </w:pPr>
      <w:r>
        <w:rPr>
          <w:rFonts w:asciiTheme="majorHAnsi" w:hAnsiTheme="majorHAnsi" w:cstheme="majorHAnsi"/>
          <w:b/>
          <w:bCs/>
          <w:sz w:val="28"/>
          <w:szCs w:val="28"/>
          <w:lang w:val="hr-HR"/>
        </w:rPr>
        <w:t>Danas je u Udruženju obrtnika u Poreču održana 5. sjednica Skupštine TZG Poreča na kojoj su usvojeni program rada i financijski plan za 2020.</w:t>
      </w:r>
    </w:p>
    <w:p w14:paraId="529F500B" w14:textId="77777777" w:rsidR="00D02216" w:rsidRDefault="00D02216">
      <w:pPr>
        <w:pBdr>
          <w:bottom w:val="single" w:sz="4" w:space="1" w:color="FFC000" w:themeColor="accent4"/>
        </w:pBdr>
        <w:jc w:val="both"/>
        <w:rPr>
          <w:rFonts w:asciiTheme="majorHAnsi" w:hAnsiTheme="majorHAnsi" w:cstheme="majorHAnsi"/>
          <w:sz w:val="22"/>
          <w:szCs w:val="22"/>
          <w:lang w:val="hr-HR"/>
        </w:rPr>
      </w:pPr>
    </w:p>
    <w:p w14:paraId="44CE905C" w14:textId="77777777" w:rsidR="00D02216" w:rsidRDefault="00D02216">
      <w:pPr>
        <w:jc w:val="both"/>
        <w:rPr>
          <w:rFonts w:asciiTheme="majorHAnsi" w:hAnsiTheme="majorHAnsi" w:cstheme="majorHAnsi"/>
          <w:sz w:val="22"/>
          <w:szCs w:val="22"/>
          <w:lang w:val="hr-HR"/>
        </w:rPr>
      </w:pPr>
    </w:p>
    <w:p w14:paraId="4384F582" w14:textId="77777777" w:rsidR="00D02216" w:rsidRDefault="004A75BF">
      <w:pPr>
        <w:jc w:val="both"/>
        <w:rPr>
          <w:rFonts w:asciiTheme="majorHAnsi" w:hAnsiTheme="majorHAnsi" w:cstheme="majorHAnsi"/>
          <w:sz w:val="22"/>
          <w:szCs w:val="22"/>
          <w:lang w:val="hr-HR"/>
        </w:rPr>
      </w:pPr>
      <w:r>
        <w:rPr>
          <w:rFonts w:asciiTheme="majorHAnsi" w:hAnsiTheme="majorHAnsi" w:cstheme="majorHAnsi"/>
          <w:sz w:val="22"/>
          <w:szCs w:val="22"/>
          <w:lang w:val="hr-HR"/>
        </w:rPr>
        <w:t xml:space="preserve">Program rada predstavio je direktor TZG Poreča Nenad Velenik koji se na samom početku izlaganja osvrnuo na ostvareni turistički promet. Na području Turističke zajednice grada Poreča ostvareno je 3,5 milijuna noćenja što je za 2 % više nego u rekordnoj 2018. te 578 tisuća dolazaka, odnosno 3 % više nego prethodne godine. Najbrojniji su bili tradicionalno gosti iz Njemačke koji su ponovno ostvarili najviše noćenja, slijede gosti iz Austrije, Slovenije, četvrto mjesto zauzimaju gosti iz Italije, a peto gosti iz Velike Britanije. Što se tiče popunjenosti kapaciteta prema kanalu prodaje: „hotelski smještaj bilježi porast od 1 %, privatni smještaj također porast od 1 %, kampovi porast od 2 %, a nekomercijalni smještaj porast od 3 %. Odlična turistička sezona još je jednom dokazala da sinergijom privatnog i javnog sektora Poreč može biti top destinacija ljetnog odmorišnog turizma. Slogan „You </w:t>
      </w:r>
      <w:proofErr w:type="spellStart"/>
      <w:r>
        <w:rPr>
          <w:rFonts w:asciiTheme="majorHAnsi" w:hAnsiTheme="majorHAnsi" w:cstheme="majorHAnsi"/>
          <w:sz w:val="22"/>
          <w:szCs w:val="22"/>
          <w:lang w:val="hr-HR"/>
        </w:rPr>
        <w:t>complete</w:t>
      </w:r>
      <w:proofErr w:type="spellEnd"/>
      <w:r>
        <w:rPr>
          <w:rFonts w:asciiTheme="majorHAnsi" w:hAnsiTheme="majorHAnsi" w:cstheme="majorHAnsi"/>
          <w:sz w:val="22"/>
          <w:szCs w:val="22"/>
          <w:lang w:val="hr-HR"/>
        </w:rPr>
        <w:t xml:space="preserve"> </w:t>
      </w:r>
      <w:proofErr w:type="spellStart"/>
      <w:r>
        <w:rPr>
          <w:rFonts w:asciiTheme="majorHAnsi" w:hAnsiTheme="majorHAnsi" w:cstheme="majorHAnsi"/>
          <w:sz w:val="22"/>
          <w:szCs w:val="22"/>
          <w:lang w:val="hr-HR"/>
        </w:rPr>
        <w:t>us</w:t>
      </w:r>
      <w:proofErr w:type="spellEnd"/>
      <w:r>
        <w:rPr>
          <w:rFonts w:asciiTheme="majorHAnsi" w:hAnsiTheme="majorHAnsi" w:cstheme="majorHAnsi"/>
          <w:sz w:val="22"/>
          <w:szCs w:val="22"/>
          <w:lang w:val="hr-HR"/>
        </w:rPr>
        <w:t>“ govori u prilog velikom entuzijazmu svih nas koji smo involvirani u turističku ponudu i koji gostima želimo pružiti nezaboravne trenutke u Poreču“, rekao je Velenik.</w:t>
      </w:r>
    </w:p>
    <w:p w14:paraId="5ECB5F21" w14:textId="77777777" w:rsidR="00D02216" w:rsidRDefault="00D02216">
      <w:pPr>
        <w:jc w:val="both"/>
        <w:rPr>
          <w:rFonts w:asciiTheme="majorHAnsi" w:hAnsiTheme="majorHAnsi" w:cstheme="majorHAnsi"/>
          <w:sz w:val="22"/>
          <w:szCs w:val="22"/>
          <w:lang w:val="hr-HR"/>
        </w:rPr>
      </w:pPr>
    </w:p>
    <w:p w14:paraId="3B0D6C33" w14:textId="77777777" w:rsidR="00D02216" w:rsidRDefault="004A75BF">
      <w:pPr>
        <w:jc w:val="both"/>
        <w:rPr>
          <w:rFonts w:asciiTheme="majorHAnsi" w:eastAsia="Vectora" w:hAnsiTheme="majorHAnsi"/>
          <w:sz w:val="22"/>
          <w:szCs w:val="22"/>
          <w:lang w:val="hr-HR"/>
        </w:rPr>
      </w:pPr>
      <w:r>
        <w:rPr>
          <w:rFonts w:asciiTheme="majorHAnsi" w:eastAsia="Vectora" w:hAnsiTheme="majorHAnsi"/>
          <w:sz w:val="22"/>
          <w:szCs w:val="22"/>
          <w:lang w:val="hr-HR"/>
        </w:rPr>
        <w:t xml:space="preserve">Turistička 2020. bit će godina velikih izazova za sve dionike u turizmu. Već 2019. osjetio se </w:t>
      </w:r>
      <w:r>
        <w:rPr>
          <w:rFonts w:asciiTheme="majorHAnsi" w:eastAsia="Vectora" w:hAnsiTheme="majorHAnsi"/>
          <w:bCs/>
          <w:sz w:val="22"/>
          <w:szCs w:val="22"/>
          <w:lang w:val="hr-HR"/>
        </w:rPr>
        <w:t>povratak Turske, Grčke i sjeverne Afrike na turističko tržište.</w:t>
      </w:r>
      <w:r>
        <w:rPr>
          <w:rFonts w:asciiTheme="majorHAnsi" w:eastAsia="Vectora" w:hAnsiTheme="majorHAnsi"/>
          <w:sz w:val="22"/>
          <w:szCs w:val="22"/>
          <w:lang w:val="hr-HR"/>
        </w:rPr>
        <w:t xml:space="preserve"> „Na snažniji povratak tih zemalja potrebno je računati i sljedeće turističke godine“, istaknuo je Velenik. </w:t>
      </w:r>
      <w:r>
        <w:rPr>
          <w:rFonts w:asciiTheme="majorHAnsi" w:hAnsiTheme="majorHAnsi" w:cstheme="minorHAnsi"/>
          <w:sz w:val="22"/>
          <w:szCs w:val="22"/>
          <w:lang w:val="hr-HR"/>
        </w:rPr>
        <w:t xml:space="preserve">Osim toga, prijetnja hrvatskom turizmu može biti i migrantska kriza te balkanska ruta koja vodi prema Hrvatskoj kao i pitanje </w:t>
      </w:r>
      <w:proofErr w:type="spellStart"/>
      <w:r>
        <w:rPr>
          <w:rFonts w:asciiTheme="majorHAnsi" w:hAnsiTheme="majorHAnsi" w:cstheme="minorHAnsi"/>
          <w:sz w:val="22"/>
          <w:szCs w:val="22"/>
          <w:lang w:val="hr-HR"/>
        </w:rPr>
        <w:t>Brexita</w:t>
      </w:r>
      <w:proofErr w:type="spellEnd"/>
      <w:r>
        <w:rPr>
          <w:rFonts w:asciiTheme="majorHAnsi" w:hAnsiTheme="majorHAnsi" w:cstheme="minorHAnsi"/>
          <w:sz w:val="22"/>
          <w:szCs w:val="22"/>
          <w:lang w:val="hr-HR"/>
        </w:rPr>
        <w:t xml:space="preserve">, s obzirom na to da smo posljednjih 5-6 godina značajnije ulagali na tržište UK-a. Ne moramo posebno spominjati latentni problem radne snage te </w:t>
      </w:r>
      <w:proofErr w:type="spellStart"/>
      <w:r>
        <w:rPr>
          <w:rFonts w:asciiTheme="majorHAnsi" w:hAnsiTheme="majorHAnsi" w:cstheme="minorHAnsi"/>
          <w:sz w:val="22"/>
          <w:szCs w:val="22"/>
          <w:lang w:val="hr-HR"/>
        </w:rPr>
        <w:t>nekonkurentnost</w:t>
      </w:r>
      <w:proofErr w:type="spellEnd"/>
      <w:r>
        <w:rPr>
          <w:rFonts w:asciiTheme="majorHAnsi" w:hAnsiTheme="majorHAnsi" w:cstheme="minorHAnsi"/>
          <w:sz w:val="22"/>
          <w:szCs w:val="22"/>
          <w:lang w:val="hr-HR"/>
        </w:rPr>
        <w:t xml:space="preserve"> hrvatskog turizma. </w:t>
      </w:r>
    </w:p>
    <w:p w14:paraId="0CFCB9FF" w14:textId="77777777" w:rsidR="00D02216" w:rsidRDefault="00D02216">
      <w:pPr>
        <w:jc w:val="both"/>
        <w:rPr>
          <w:rFonts w:asciiTheme="majorHAnsi" w:hAnsiTheme="majorHAnsi" w:cstheme="majorHAnsi"/>
          <w:sz w:val="22"/>
          <w:szCs w:val="22"/>
          <w:lang w:val="hr-HR"/>
        </w:rPr>
      </w:pPr>
    </w:p>
    <w:p w14:paraId="56781A77" w14:textId="77777777" w:rsidR="00D02216" w:rsidRDefault="004A75BF">
      <w:pPr>
        <w:jc w:val="both"/>
        <w:rPr>
          <w:rFonts w:asciiTheme="majorHAnsi" w:hAnsiTheme="majorHAnsi" w:cstheme="majorHAnsi"/>
          <w:sz w:val="22"/>
          <w:szCs w:val="22"/>
          <w:lang w:val="hr-HR"/>
        </w:rPr>
      </w:pPr>
      <w:r>
        <w:rPr>
          <w:rFonts w:asciiTheme="majorHAnsi" w:hAnsiTheme="majorHAnsi" w:cstheme="majorHAnsi"/>
          <w:sz w:val="22"/>
          <w:szCs w:val="22"/>
          <w:lang w:val="hr-HR"/>
        </w:rPr>
        <w:t>Direktor TZG Poreč Nenad Velenik istaknuo je da predloženi program TZG Poreča za 2020. zadanim ciljevima i planiranim aktivnostima predstavlja nastavak provedbe ranije preuzetih aktivnosti usmjerenih prema jačanju snage brenda porečkog turizma, stvaranju prepoznatljivog imidža destinacije Poreč, podizanju marketinške vrijednosti destinacije, unapređenju i obogaćivanju turističkog proizvoda destinacije, razvoju sadržaja koji omogućavaju produljenje turističke sezone te povećanju ugostiteljskog i drugog turističkog prometa, posebice u razdoblju pred i posezone.</w:t>
      </w:r>
    </w:p>
    <w:p w14:paraId="589C3539" w14:textId="77777777" w:rsidR="00D02216" w:rsidRDefault="00D02216">
      <w:pPr>
        <w:jc w:val="both"/>
        <w:rPr>
          <w:rFonts w:asciiTheme="majorHAnsi" w:hAnsiTheme="majorHAnsi" w:cstheme="majorHAnsi"/>
          <w:sz w:val="22"/>
          <w:szCs w:val="22"/>
          <w:lang w:val="hr-HR"/>
        </w:rPr>
      </w:pPr>
    </w:p>
    <w:p w14:paraId="7BB2BE6B" w14:textId="77777777" w:rsidR="00D02216" w:rsidRDefault="004A75BF">
      <w:pPr>
        <w:jc w:val="both"/>
        <w:rPr>
          <w:rFonts w:asciiTheme="majorHAnsi" w:hAnsiTheme="majorHAnsi" w:cstheme="majorHAnsi"/>
          <w:sz w:val="22"/>
          <w:szCs w:val="22"/>
          <w:shd w:val="clear" w:color="auto" w:fill="FFFFFF"/>
          <w:lang w:val="hr-HR"/>
        </w:rPr>
      </w:pPr>
      <w:r>
        <w:rPr>
          <w:rFonts w:asciiTheme="majorHAnsi" w:hAnsiTheme="majorHAnsi" w:cstheme="majorHAnsi"/>
          <w:sz w:val="22"/>
          <w:szCs w:val="22"/>
          <w:lang w:val="hr-HR"/>
        </w:rPr>
        <w:t xml:space="preserve">U programu rada za 2020. planiraju se prihodi u visini od 20.846.310 kn, što predstavlja povećanje od 5 % u odnosu na 2019. </w:t>
      </w:r>
      <w:r>
        <w:rPr>
          <w:rFonts w:asciiTheme="majorHAnsi" w:hAnsiTheme="majorHAnsi" w:cstheme="majorHAnsi"/>
          <w:sz w:val="22"/>
          <w:szCs w:val="22"/>
          <w:shd w:val="clear" w:color="auto" w:fill="FFFFFF"/>
          <w:lang w:val="hr-HR"/>
        </w:rPr>
        <w:t xml:space="preserve">Prihodi od boravišne pristojbe planiraju se u visini od 14.921.310 kn, odnosno 2 % više u odnosu na 2019. Prihodi od turističke članarine planiraju se u visini od 2.625.000 kn, odnosno 1 % više u odnosu na 2019. Prihodi od drugih aktivnosti planiraju se u visini od 1.000.000 kn, odnosno 146 % više u odnosu na rebalans za 2019. Prijenos prihoda planira se u visini od 1.950.000 kn što je 14 % više. Prihodi po ostvarenim donacijama planiraju se u iznosu od 350.000 kn, što je 11 % manje u odnosu na 2019. </w:t>
      </w:r>
    </w:p>
    <w:p w14:paraId="13401299" w14:textId="77777777" w:rsidR="00D02216" w:rsidRDefault="00D02216">
      <w:pPr>
        <w:jc w:val="both"/>
        <w:rPr>
          <w:rFonts w:asciiTheme="majorHAnsi" w:hAnsiTheme="majorHAnsi" w:cstheme="majorHAnsi"/>
          <w:sz w:val="22"/>
          <w:szCs w:val="22"/>
          <w:shd w:val="clear" w:color="auto" w:fill="FFFFFF"/>
          <w:lang w:val="hr-HR"/>
        </w:rPr>
      </w:pPr>
    </w:p>
    <w:p w14:paraId="1C1637A6" w14:textId="77777777" w:rsidR="00D02216" w:rsidRDefault="004A75BF">
      <w:pPr>
        <w:snapToGrid w:val="0"/>
        <w:spacing w:line="276" w:lineRule="auto"/>
        <w:jc w:val="both"/>
        <w:rPr>
          <w:rFonts w:asciiTheme="majorHAnsi" w:hAnsiTheme="majorHAnsi" w:cstheme="majorHAnsi"/>
          <w:sz w:val="22"/>
          <w:szCs w:val="22"/>
          <w:shd w:val="clear" w:color="auto" w:fill="FFFFFF"/>
          <w:lang w:val="hr-HR"/>
        </w:rPr>
      </w:pPr>
      <w:r>
        <w:rPr>
          <w:rFonts w:asciiTheme="majorHAnsi" w:hAnsiTheme="majorHAnsi" w:cstheme="majorHAnsi"/>
          <w:sz w:val="22"/>
          <w:szCs w:val="22"/>
          <w:shd w:val="clear" w:color="auto" w:fill="FFFFFF"/>
          <w:lang w:val="hr-HR"/>
        </w:rPr>
        <w:lastRenderedPageBreak/>
        <w:t>Rashodi u 2020. planiraju se u visini od 20.845.533 kn, što predstavlja povećanje od 17 % u odnosu na 2019. U strukturi rashoda u najvećem obujmu planirani su rashodi za dizajn vrijednosti u iznosu od  7.759.000 kn, što predstavlja 37 % ukupno planiranih rashoda, slijede rashodi za posebne programe koji su planirani u iznosu od 4.588.900 kn, što predstavlja 22 % ukupno planiranih rashoda. Transfer boravišne pristojbe gradu Poreču planira se u iznosu od 4.371.310 kn, što predstavlja 21 % ukupno planiranih rashoda, slijede administrativni rashodi u iznosu od 1.884.000 kn, što predstavlja 9 % ukupno planiranih rashoda. Za komunikaciju vrijednosti planira se iznos od 1.845.823 kn, što predstavlja 9 % ukupno planiranih rashoda, distribucija i prodaja vrijednosti u iznosu od 191.500 kn, što predstavlja 1 %, dok marketinška infrastruktura te interni marketing  predstavljaju 1 % ukupno planiranih rashoda.</w:t>
      </w:r>
    </w:p>
    <w:p w14:paraId="1B619A66" w14:textId="77777777" w:rsidR="00D02216" w:rsidRDefault="00D02216">
      <w:pPr>
        <w:snapToGrid w:val="0"/>
        <w:spacing w:line="276" w:lineRule="auto"/>
        <w:jc w:val="both"/>
        <w:rPr>
          <w:rFonts w:asciiTheme="majorHAnsi" w:hAnsiTheme="majorHAnsi" w:cstheme="majorHAnsi"/>
          <w:sz w:val="22"/>
          <w:szCs w:val="22"/>
          <w:lang w:val="hr-HR"/>
        </w:rPr>
      </w:pPr>
    </w:p>
    <w:p w14:paraId="0A6CEC49" w14:textId="77777777" w:rsidR="00D02216" w:rsidRDefault="004A75BF">
      <w:pPr>
        <w:snapToGrid w:val="0"/>
        <w:spacing w:line="276" w:lineRule="auto"/>
        <w:jc w:val="both"/>
        <w:rPr>
          <w:rFonts w:asciiTheme="majorHAnsi" w:hAnsiTheme="majorHAnsi" w:cstheme="majorHAnsi"/>
          <w:sz w:val="22"/>
          <w:szCs w:val="22"/>
          <w:shd w:val="clear" w:color="auto" w:fill="FFFFFF"/>
          <w:lang w:val="hr-HR"/>
        </w:rPr>
      </w:pPr>
      <w:r>
        <w:rPr>
          <w:rFonts w:asciiTheme="majorHAnsi" w:hAnsiTheme="majorHAnsi" w:cstheme="majorHAnsi"/>
          <w:sz w:val="22"/>
          <w:szCs w:val="22"/>
          <w:lang w:val="hr-HR"/>
        </w:rPr>
        <w:t>Neke od aktivnosti planiranih u 2020. su promidžba turističke destinacije na emitivnim tržištima, sudjelovanje u definiranju ciljeva i politike razvoja turizma na razini destinacije, koordinacija djelovanja subjekata koji su neposredno ili posredno uključeni u turistički promet, a  radi zajedničke provedbe politike razvoja i obogaćivanja turističke ponude, sudjelovanje u stvaranju uvjeta za učinkovitu koordinaciju javnog i privatnog sektora, poticanje i sudjelovanje u uređenju destinacije u cilju unapređenja općih uvjeta boravaka turista, poticanje i organiziranje manifestacija koje pridonose obogaćivanju turističke ponude, poticanje novih i unapređenje postojećih turističkih proizvoda.</w:t>
      </w:r>
    </w:p>
    <w:p w14:paraId="0FB16CF6" w14:textId="77777777" w:rsidR="00D02216" w:rsidRDefault="00D02216">
      <w:pPr>
        <w:tabs>
          <w:tab w:val="left" w:pos="709"/>
        </w:tabs>
        <w:jc w:val="both"/>
        <w:rPr>
          <w:rFonts w:asciiTheme="majorHAnsi" w:hAnsiTheme="majorHAnsi" w:cstheme="majorHAnsi"/>
          <w:sz w:val="22"/>
          <w:szCs w:val="22"/>
          <w:lang w:val="hr-HR" w:eastAsia="hr-HR"/>
        </w:rPr>
      </w:pPr>
    </w:p>
    <w:p w14:paraId="24ADD4F0" w14:textId="77777777" w:rsidR="00D02216" w:rsidRDefault="004A75BF">
      <w:pPr>
        <w:tabs>
          <w:tab w:val="left" w:pos="709"/>
        </w:tabs>
        <w:jc w:val="both"/>
        <w:rPr>
          <w:rFonts w:asciiTheme="majorHAnsi" w:hAnsiTheme="majorHAnsi" w:cstheme="majorHAnsi"/>
          <w:sz w:val="22"/>
          <w:szCs w:val="22"/>
          <w:lang w:val="hr-HR" w:eastAsia="hr-HR"/>
        </w:rPr>
      </w:pPr>
      <w:r>
        <w:rPr>
          <w:rFonts w:asciiTheme="majorHAnsi" w:hAnsiTheme="majorHAnsi" w:cstheme="majorHAnsi"/>
          <w:sz w:val="22"/>
          <w:szCs w:val="22"/>
          <w:lang w:val="hr-HR" w:eastAsia="hr-HR"/>
        </w:rPr>
        <w:t xml:space="preserve">Od kapitalnih investicija u 2020., TZG Poreč planira izgradnju vodenog igrališta – prskališta na plaži </w:t>
      </w:r>
      <w:proofErr w:type="spellStart"/>
      <w:r>
        <w:rPr>
          <w:rFonts w:asciiTheme="majorHAnsi" w:hAnsiTheme="majorHAnsi" w:cstheme="majorHAnsi"/>
          <w:sz w:val="22"/>
          <w:szCs w:val="22"/>
          <w:lang w:val="hr-HR" w:eastAsia="hr-HR"/>
        </w:rPr>
        <w:t>Materada</w:t>
      </w:r>
      <w:proofErr w:type="spellEnd"/>
      <w:r>
        <w:rPr>
          <w:rFonts w:asciiTheme="majorHAnsi" w:hAnsiTheme="majorHAnsi" w:cstheme="majorHAnsi"/>
          <w:sz w:val="22"/>
          <w:szCs w:val="22"/>
          <w:lang w:val="hr-HR" w:eastAsia="hr-HR"/>
        </w:rPr>
        <w:t xml:space="preserve"> jug, kao i sufinanciranje obnove porečke rive. </w:t>
      </w:r>
      <w:r>
        <w:rPr>
          <w:rFonts w:asciiTheme="majorHAnsi" w:hAnsiTheme="majorHAnsi" w:cstheme="majorHAnsi"/>
          <w:sz w:val="22"/>
          <w:szCs w:val="22"/>
          <w:lang w:val="hr-HR"/>
        </w:rPr>
        <w:t xml:space="preserve">Planira se i nastavak sufinanciranja programa kojim se potiče vlasnike nekretnina na području kulturno-povijesne i urbanističke cjeline grada na obnovu i uređenje njihovih građevina. TZG Poreča financijski podržava program u cilju zaštite kulturne baštine sukladno načelima održivog razvoja. Direktor TZG Poreča Nenad Velenik, istaknuo je i </w:t>
      </w:r>
      <w:r>
        <w:rPr>
          <w:rFonts w:asciiTheme="majorHAnsi" w:hAnsiTheme="majorHAnsi" w:cstheme="majorHAnsi"/>
          <w:sz w:val="22"/>
          <w:szCs w:val="22"/>
          <w:lang w:val="hr-HR" w:eastAsia="hr-HR"/>
        </w:rPr>
        <w:t xml:space="preserve">dovršetak uređenja dječjeg igrališta u pješačko-rekreativnoj zoni gradskog kupališta kao i </w:t>
      </w:r>
      <w:proofErr w:type="spellStart"/>
      <w:r>
        <w:rPr>
          <w:rFonts w:asciiTheme="majorHAnsi" w:hAnsiTheme="majorHAnsi" w:cstheme="majorHAnsi"/>
          <w:i/>
          <w:sz w:val="22"/>
          <w:szCs w:val="22"/>
          <w:lang w:val="hr-HR" w:eastAsia="hr-HR"/>
        </w:rPr>
        <w:t>pump</w:t>
      </w:r>
      <w:proofErr w:type="spellEnd"/>
      <w:r>
        <w:rPr>
          <w:rFonts w:asciiTheme="majorHAnsi" w:hAnsiTheme="majorHAnsi" w:cstheme="majorHAnsi"/>
          <w:i/>
          <w:sz w:val="22"/>
          <w:szCs w:val="22"/>
          <w:lang w:val="hr-HR" w:eastAsia="hr-HR"/>
        </w:rPr>
        <w:t xml:space="preserve"> </w:t>
      </w:r>
      <w:proofErr w:type="spellStart"/>
      <w:r>
        <w:rPr>
          <w:rFonts w:asciiTheme="majorHAnsi" w:hAnsiTheme="majorHAnsi" w:cstheme="majorHAnsi"/>
          <w:i/>
          <w:sz w:val="22"/>
          <w:szCs w:val="22"/>
          <w:lang w:val="hr-HR" w:eastAsia="hr-HR"/>
        </w:rPr>
        <w:t>track</w:t>
      </w:r>
      <w:proofErr w:type="spellEnd"/>
      <w:r>
        <w:rPr>
          <w:rFonts w:asciiTheme="majorHAnsi" w:hAnsiTheme="majorHAnsi" w:cstheme="majorHAnsi"/>
          <w:i/>
          <w:sz w:val="22"/>
          <w:szCs w:val="22"/>
          <w:lang w:val="hr-HR" w:eastAsia="hr-HR"/>
        </w:rPr>
        <w:t xml:space="preserve">  bike </w:t>
      </w:r>
      <w:r>
        <w:rPr>
          <w:rFonts w:asciiTheme="majorHAnsi" w:hAnsiTheme="majorHAnsi" w:cstheme="majorHAnsi"/>
          <w:sz w:val="22"/>
          <w:szCs w:val="22"/>
          <w:lang w:val="hr-HR" w:eastAsia="hr-HR"/>
        </w:rPr>
        <w:t xml:space="preserve">poligon, također u pješačko-rekreativnoj zoni gradskog kupališta. </w:t>
      </w:r>
    </w:p>
    <w:p w14:paraId="3BCEBE2D" w14:textId="77777777" w:rsidR="00D02216" w:rsidRDefault="00D02216">
      <w:pPr>
        <w:snapToGrid w:val="0"/>
        <w:jc w:val="both"/>
        <w:rPr>
          <w:rFonts w:asciiTheme="majorHAnsi" w:hAnsiTheme="majorHAnsi" w:cstheme="majorHAnsi"/>
          <w:sz w:val="22"/>
          <w:szCs w:val="22"/>
          <w:lang w:val="hr-HR"/>
        </w:rPr>
      </w:pPr>
    </w:p>
    <w:p w14:paraId="056286AA" w14:textId="77777777" w:rsidR="00D02216" w:rsidRDefault="004A75BF">
      <w:pPr>
        <w:snapToGrid w:val="0"/>
        <w:jc w:val="both"/>
        <w:rPr>
          <w:rFonts w:asciiTheme="majorHAnsi" w:hAnsiTheme="majorHAnsi" w:cstheme="majorHAnsi"/>
          <w:sz w:val="22"/>
          <w:szCs w:val="22"/>
          <w:lang w:val="hr-HR"/>
        </w:rPr>
      </w:pPr>
      <w:r>
        <w:rPr>
          <w:rFonts w:asciiTheme="majorHAnsi" w:hAnsiTheme="majorHAnsi" w:cstheme="majorHAnsi"/>
          <w:sz w:val="22"/>
          <w:szCs w:val="22"/>
          <w:lang w:val="hr-HR"/>
        </w:rPr>
        <w:t xml:space="preserve">Od promotivnih materijala u 2020. nastavit će se s tiskanjem imidž brošure „Poreč – You </w:t>
      </w:r>
      <w:proofErr w:type="spellStart"/>
      <w:r>
        <w:rPr>
          <w:rFonts w:asciiTheme="majorHAnsi" w:hAnsiTheme="majorHAnsi" w:cstheme="majorHAnsi"/>
          <w:sz w:val="22"/>
          <w:szCs w:val="22"/>
          <w:lang w:val="hr-HR"/>
        </w:rPr>
        <w:t>Complete</w:t>
      </w:r>
      <w:proofErr w:type="spellEnd"/>
      <w:r>
        <w:rPr>
          <w:rFonts w:asciiTheme="majorHAnsi" w:hAnsiTheme="majorHAnsi" w:cstheme="majorHAnsi"/>
          <w:sz w:val="22"/>
          <w:szCs w:val="22"/>
          <w:lang w:val="hr-HR"/>
        </w:rPr>
        <w:t xml:space="preserve"> Us“ koja je namijenjena prezentaciji destinacije na turističkim sajmovima na kojima nastupa TZG Poreč, HTZ ili TZIŽ, te posebnim promocijama, kao i turističkim agencijama i novinarima. Dijelit će se na sajmovima i u Informativnom centru TZG Poreča. Tiskat će se i „Informator“, odnosno brošura koja posjetiteljima pruža informacije o ponudi destinacije služeći im kao vodič za vrijeme boravka u destinaciji. Brošura je na raspolaganju u Informativnom centru TZG Poreča, turističkim agencijama, na recepcijama hotela i kampova, u pulskoj zračnoj luci te kod privatnih iznajmljivača. Tiskat će se i planovi grada i brošura „</w:t>
      </w:r>
      <w:proofErr w:type="spellStart"/>
      <w:r>
        <w:rPr>
          <w:rFonts w:asciiTheme="majorHAnsi" w:hAnsiTheme="majorHAnsi" w:cstheme="majorHAnsi"/>
          <w:sz w:val="22"/>
          <w:szCs w:val="22"/>
          <w:lang w:val="hr-HR"/>
        </w:rPr>
        <w:t>Welcome</w:t>
      </w:r>
      <w:proofErr w:type="spellEnd"/>
      <w:r>
        <w:rPr>
          <w:rFonts w:asciiTheme="majorHAnsi" w:hAnsiTheme="majorHAnsi" w:cstheme="majorHAnsi"/>
          <w:sz w:val="22"/>
          <w:szCs w:val="22"/>
          <w:lang w:val="hr-HR"/>
        </w:rPr>
        <w:t xml:space="preserve">“. U 2020. planiran je redizajn brošure „Spomenici“ koncipirane kao vodič kroz najznačajnije kulturne i povijesne točke u destinaciji. U planu je i izrada nove brošure „Best </w:t>
      </w:r>
      <w:proofErr w:type="spellStart"/>
      <w:r>
        <w:rPr>
          <w:rFonts w:asciiTheme="majorHAnsi" w:hAnsiTheme="majorHAnsi" w:cstheme="majorHAnsi"/>
          <w:sz w:val="22"/>
          <w:szCs w:val="22"/>
          <w:lang w:val="hr-HR"/>
        </w:rPr>
        <w:t>Of</w:t>
      </w:r>
      <w:proofErr w:type="spellEnd"/>
      <w:r>
        <w:rPr>
          <w:rFonts w:asciiTheme="majorHAnsi" w:hAnsiTheme="majorHAnsi" w:cstheme="majorHAnsi"/>
          <w:sz w:val="22"/>
          <w:szCs w:val="22"/>
          <w:lang w:val="hr-HR"/>
        </w:rPr>
        <w:t xml:space="preserve"> Poreč“ koja će posjetiteljima i lokalnom stanovništvu ponuditi najbolje eno-gastronomske i autohtone suvenirske sadržaje na području Poreštine s naglaskom na starogradsku jezgru, a prema jasno definiranim kriterijima izvrsnosti. Ciljevi projekta su promocija autentičnih sadržaja kroz afirmiranu turističku ponudu – dodatna vrijednost i informacija za goste te motivacija lokalnog stanovništva i poduzetnika da imaju čim kvalitetniji sadržaj.</w:t>
      </w:r>
    </w:p>
    <w:p w14:paraId="2FD4D1B8" w14:textId="77777777" w:rsidR="00D02216" w:rsidRDefault="00D02216">
      <w:pPr>
        <w:snapToGrid w:val="0"/>
        <w:jc w:val="both"/>
        <w:rPr>
          <w:rFonts w:asciiTheme="majorHAnsi" w:hAnsiTheme="majorHAnsi" w:cstheme="majorHAnsi"/>
          <w:sz w:val="22"/>
          <w:szCs w:val="22"/>
          <w:lang w:val="hr-HR"/>
        </w:rPr>
      </w:pPr>
    </w:p>
    <w:p w14:paraId="127E4EE5" w14:textId="77777777" w:rsidR="00D02216" w:rsidRDefault="004A75BF">
      <w:pPr>
        <w:snapToGrid w:val="0"/>
        <w:jc w:val="both"/>
        <w:rPr>
          <w:rFonts w:asciiTheme="majorHAnsi" w:hAnsiTheme="majorHAnsi" w:cstheme="majorHAnsi"/>
          <w:sz w:val="22"/>
          <w:szCs w:val="22"/>
          <w:lang w:val="hr-HR"/>
        </w:rPr>
      </w:pPr>
      <w:r>
        <w:rPr>
          <w:rFonts w:asciiTheme="majorHAnsi" w:hAnsiTheme="majorHAnsi" w:cstheme="majorHAnsi"/>
          <w:sz w:val="22"/>
          <w:szCs w:val="22"/>
          <w:lang w:val="hr-HR"/>
        </w:rPr>
        <w:t xml:space="preserve">U 2020. planirana je besplatna edukacija za pružatelje ugostiteljskih usluga u domaćinstvu - iznajmljivače. Edukacija je planirana kroz niz tema koje će iznajmljivačima pomoći u vođenju apartmana i kuća za odmor, te koje će podići kvalitete njihovih usluga. Polaznicima edukacije po završetku će se dodijeliti certifikat TZG Poreča „EDUCIRANI DOMAĆIN / EDUCATED HOST 2020“. </w:t>
      </w:r>
    </w:p>
    <w:p w14:paraId="12A572DF" w14:textId="77777777" w:rsidR="00D02216" w:rsidRDefault="00D02216">
      <w:pPr>
        <w:snapToGrid w:val="0"/>
        <w:jc w:val="both"/>
        <w:rPr>
          <w:rFonts w:asciiTheme="majorHAnsi" w:hAnsiTheme="majorHAnsi" w:cstheme="majorHAnsi"/>
          <w:sz w:val="22"/>
          <w:szCs w:val="22"/>
          <w:lang w:val="hr-HR"/>
        </w:rPr>
      </w:pPr>
    </w:p>
    <w:p w14:paraId="70349A05" w14:textId="77777777" w:rsidR="00D02216" w:rsidRDefault="004A75BF">
      <w:pPr>
        <w:snapToGrid w:val="0"/>
        <w:jc w:val="both"/>
        <w:rPr>
          <w:rFonts w:asciiTheme="majorHAnsi" w:hAnsiTheme="majorHAnsi" w:cstheme="majorHAnsi"/>
          <w:sz w:val="22"/>
          <w:szCs w:val="22"/>
          <w:lang w:val="hr-HR"/>
        </w:rPr>
      </w:pPr>
      <w:r>
        <w:rPr>
          <w:rFonts w:asciiTheme="majorHAnsi" w:hAnsiTheme="majorHAnsi" w:cstheme="majorHAnsi"/>
          <w:sz w:val="22"/>
          <w:szCs w:val="22"/>
          <w:lang w:val="hr-HR"/>
        </w:rPr>
        <w:t xml:space="preserve">TZG Poreča nastavit će poticati, organizirati i provoditi akcije u cilju očuvanja turističkog prostora, unapređenja turističkog okružja i zaštite čovjekova okoliša. U skladu s time, i u 2020. nastavlja se poticanje ekoloških aktivnosti koje su tradicionalno dobro prihvaćene, a to su projekt kontrole populacije galeba </w:t>
      </w:r>
      <w:proofErr w:type="spellStart"/>
      <w:r>
        <w:rPr>
          <w:rFonts w:asciiTheme="majorHAnsi" w:hAnsiTheme="majorHAnsi" w:cstheme="majorHAnsi"/>
          <w:sz w:val="22"/>
          <w:szCs w:val="22"/>
          <w:lang w:val="hr-HR"/>
        </w:rPr>
        <w:t>klaukavca</w:t>
      </w:r>
      <w:proofErr w:type="spellEnd"/>
      <w:r>
        <w:rPr>
          <w:rFonts w:asciiTheme="majorHAnsi" w:hAnsiTheme="majorHAnsi" w:cstheme="majorHAnsi"/>
          <w:sz w:val="22"/>
          <w:szCs w:val="22"/>
          <w:lang w:val="hr-HR"/>
        </w:rPr>
        <w:t>, čišćenje porečkog akvatorija i otočića te čišćenje podmorja porečke rive. Nastavit će se akcija „Dodir leptira“ u kojoj se nagrađuju najuređeniji mjesni odbor, najljepša okućnica, najljepši balkon i najuređeniji poslovni prostor na području grada Poreča.</w:t>
      </w:r>
    </w:p>
    <w:p w14:paraId="2D0596D2" w14:textId="77777777" w:rsidR="00D02216" w:rsidRDefault="00D02216">
      <w:pPr>
        <w:snapToGrid w:val="0"/>
        <w:jc w:val="both"/>
        <w:rPr>
          <w:rFonts w:asciiTheme="majorHAnsi" w:hAnsiTheme="majorHAnsi" w:cstheme="majorHAnsi"/>
          <w:sz w:val="22"/>
          <w:szCs w:val="22"/>
          <w:lang w:val="hr-HR"/>
        </w:rPr>
      </w:pPr>
    </w:p>
    <w:p w14:paraId="4A77CA6F" w14:textId="77777777" w:rsidR="00D02216" w:rsidRDefault="004A75BF">
      <w:pPr>
        <w:snapToGrid w:val="0"/>
        <w:jc w:val="both"/>
        <w:rPr>
          <w:rFonts w:asciiTheme="majorHAnsi" w:hAnsiTheme="majorHAnsi" w:cstheme="majorHAnsi"/>
          <w:sz w:val="22"/>
          <w:szCs w:val="22"/>
          <w:lang w:val="hr-HR"/>
        </w:rPr>
      </w:pPr>
      <w:r>
        <w:rPr>
          <w:rFonts w:asciiTheme="majorHAnsi" w:hAnsiTheme="majorHAnsi" w:cstheme="majorHAnsi"/>
          <w:sz w:val="22"/>
          <w:szCs w:val="22"/>
          <w:lang w:val="hr-HR"/>
        </w:rPr>
        <w:t xml:space="preserve">Jedan od krucijalnih projekata u sljedećoj godini bit će udruživanje turističkih zajednica Poreštine u Klaster Riviera Poreč. TZG Poreč pojavljuje se u funkciji glavnog koordinatora i nositelja projekta. Planirani rashodi za klastersku suradnju u 2020. iznose 4.556.000 kn. </w:t>
      </w:r>
    </w:p>
    <w:p w14:paraId="709DDD7C" w14:textId="77777777" w:rsidR="00D02216" w:rsidRDefault="00D02216">
      <w:pPr>
        <w:snapToGrid w:val="0"/>
        <w:jc w:val="both"/>
        <w:rPr>
          <w:rFonts w:asciiTheme="majorHAnsi" w:hAnsiTheme="majorHAnsi" w:cstheme="majorHAnsi"/>
          <w:sz w:val="22"/>
          <w:szCs w:val="22"/>
          <w:lang w:val="hr-HR"/>
        </w:rPr>
      </w:pPr>
    </w:p>
    <w:p w14:paraId="7346E417" w14:textId="77777777" w:rsidR="00D02216" w:rsidRDefault="004A75BF">
      <w:pPr>
        <w:snapToGrid w:val="0"/>
        <w:jc w:val="both"/>
        <w:rPr>
          <w:rFonts w:asciiTheme="majorHAnsi" w:hAnsiTheme="majorHAnsi" w:cstheme="majorHAnsi"/>
          <w:sz w:val="22"/>
          <w:szCs w:val="22"/>
          <w:lang w:val="hr-HR"/>
        </w:rPr>
      </w:pPr>
      <w:r>
        <w:rPr>
          <w:rFonts w:asciiTheme="majorHAnsi" w:hAnsiTheme="majorHAnsi" w:cstheme="majorHAnsi"/>
          <w:sz w:val="22"/>
          <w:szCs w:val="22"/>
          <w:lang w:val="hr-HR"/>
        </w:rPr>
        <w:t xml:space="preserve">Turističko vijeće TZG Poreča raspisalo je Javni poziv za dodjelu potpore iz programa „Potpore manifestacijama u 2020.“ Nakon detaljne obrade pristiglih kandidatura, Turističko vijeće TZG Poreča na svojoj 13. sjednici održanoj 4. 12. 2019. donijelo je odluku o odabiru manifestacija kojima se odobrava dodjela bespovratnih sredstava potpore iz programa „Potpore manifestacijama u 2020. godini“ i iznosima potpore. Za tu svrhu planirano je 4.990.000 kuna, odnosno 11 % više u odnosu na 2019. </w:t>
      </w:r>
    </w:p>
    <w:p w14:paraId="01A944EA" w14:textId="77777777" w:rsidR="00D02216" w:rsidRDefault="00D02216">
      <w:pPr>
        <w:snapToGrid w:val="0"/>
        <w:jc w:val="both"/>
        <w:rPr>
          <w:rFonts w:asciiTheme="majorHAnsi" w:hAnsiTheme="majorHAnsi" w:cstheme="majorHAnsi"/>
          <w:sz w:val="22"/>
          <w:szCs w:val="22"/>
          <w:lang w:val="hr-HR"/>
        </w:rPr>
      </w:pPr>
    </w:p>
    <w:p w14:paraId="55C5708A" w14:textId="77777777" w:rsidR="00D02216" w:rsidRDefault="004A75BF">
      <w:pPr>
        <w:snapToGrid w:val="0"/>
        <w:jc w:val="both"/>
        <w:rPr>
          <w:rFonts w:asciiTheme="majorHAnsi" w:hAnsiTheme="majorHAnsi" w:cstheme="majorHAnsi"/>
          <w:sz w:val="22"/>
          <w:szCs w:val="22"/>
          <w:lang w:val="hr-HR"/>
        </w:rPr>
      </w:pPr>
      <w:r>
        <w:rPr>
          <w:rFonts w:asciiTheme="majorHAnsi" w:hAnsiTheme="majorHAnsi" w:cstheme="majorHAnsi"/>
          <w:sz w:val="22"/>
          <w:szCs w:val="22"/>
          <w:lang w:val="hr-HR"/>
        </w:rPr>
        <w:t xml:space="preserve">Prijedlog programa rada i financijskog plana Turističke zajednice grada Poreča za 2020. članovi Skupštine prihvatili su jednoglasno i bez primjedbi. </w:t>
      </w:r>
    </w:p>
    <w:p w14:paraId="127B4C6E" w14:textId="77777777" w:rsidR="00D02216" w:rsidRDefault="00D02216">
      <w:pPr>
        <w:snapToGrid w:val="0"/>
        <w:jc w:val="both"/>
        <w:rPr>
          <w:rFonts w:asciiTheme="majorHAnsi" w:hAnsiTheme="majorHAnsi" w:cstheme="majorHAnsi"/>
          <w:sz w:val="22"/>
          <w:szCs w:val="22"/>
          <w:lang w:val="hr-HR"/>
        </w:rPr>
      </w:pPr>
    </w:p>
    <w:p w14:paraId="1F2FE54A" w14:textId="77777777" w:rsidR="00D02216" w:rsidRDefault="004A75BF">
      <w:pPr>
        <w:jc w:val="both"/>
        <w:rPr>
          <w:rFonts w:asciiTheme="majorHAnsi" w:hAnsiTheme="majorHAnsi" w:cstheme="majorHAnsi"/>
          <w:sz w:val="22"/>
          <w:szCs w:val="22"/>
          <w:lang w:val="hr-HR"/>
        </w:rPr>
      </w:pPr>
      <w:r>
        <w:rPr>
          <w:rFonts w:asciiTheme="majorHAnsi" w:hAnsiTheme="majorHAnsi" w:cstheme="majorHAnsi"/>
          <w:sz w:val="22"/>
          <w:szCs w:val="22"/>
          <w:lang w:val="hr-HR"/>
        </w:rPr>
        <w:t xml:space="preserve">„Nakon Turističkog vijeća koje je jednoglasno usvojilo prijedlog godišnjeg programa rada i financijskog plana za 2020., danas su to učinili i članovi Skupštine Turističke zajednice grada Poreča. Radi se o ključnom dokumentu koji sadrži smjernice i aktivnosti u idućoj godini tijekom koje će nam cilj biti jačanje obiteljskog i </w:t>
      </w:r>
      <w:r>
        <w:rPr>
          <w:rFonts w:asciiTheme="majorHAnsi" w:hAnsiTheme="majorHAnsi" w:cstheme="majorHAnsi"/>
          <w:i/>
          <w:sz w:val="22"/>
          <w:szCs w:val="22"/>
          <w:lang w:val="hr-HR"/>
        </w:rPr>
        <w:t>outdoor</w:t>
      </w:r>
      <w:r>
        <w:rPr>
          <w:rFonts w:asciiTheme="majorHAnsi" w:hAnsiTheme="majorHAnsi" w:cstheme="majorHAnsi"/>
          <w:sz w:val="22"/>
          <w:szCs w:val="22"/>
          <w:lang w:val="hr-HR"/>
        </w:rPr>
        <w:t xml:space="preserve"> pozicioniranja destinacije, rad na zajedničkim projektima klastera, diverzifikacija turističkih proizvoda, povećanje turističkog prometa u razdoblju predsezone i posezone, poboljšanje uvjeta boravka gostiju u destinaciji te učvršćivanje pozicije Poreča kao top odredišta za ljetni odmorišni turizam“, istaknuo je tom prilikom direktor Ureda TZG Poreča Nenad Velenik.</w:t>
      </w:r>
    </w:p>
    <w:p w14:paraId="0B7C0CBF" w14:textId="77777777" w:rsidR="00D02216" w:rsidRDefault="00D02216">
      <w:pPr>
        <w:jc w:val="both"/>
        <w:rPr>
          <w:rFonts w:asciiTheme="majorHAnsi" w:hAnsiTheme="majorHAnsi" w:cstheme="majorHAnsi"/>
          <w:sz w:val="22"/>
          <w:szCs w:val="22"/>
          <w:lang w:val="hr-HR"/>
        </w:rPr>
      </w:pPr>
    </w:p>
    <w:p w14:paraId="3101AC17" w14:textId="77777777" w:rsidR="00D02216" w:rsidRDefault="004A75BF">
      <w:pPr>
        <w:snapToGrid w:val="0"/>
        <w:jc w:val="both"/>
        <w:rPr>
          <w:rFonts w:asciiTheme="majorHAnsi" w:hAnsiTheme="majorHAnsi" w:cstheme="majorHAnsi"/>
          <w:sz w:val="22"/>
          <w:szCs w:val="22"/>
          <w:lang w:val="hr-HR"/>
        </w:rPr>
      </w:pPr>
      <w:r>
        <w:rPr>
          <w:rFonts w:asciiTheme="majorHAnsi" w:hAnsiTheme="majorHAnsi" w:cstheme="majorHAnsi"/>
          <w:sz w:val="22"/>
          <w:szCs w:val="22"/>
          <w:lang w:val="hr-HR"/>
        </w:rPr>
        <w:t>Osim godišnjeg programa rada i financijskog plana za 2020., na sjednici Skupštine Turističke zajednice grada Poreča usvojeno je i izvješće Nadzornog odbora o obavljenom nadzoru nad poslovanjem Turističke zajednice grada Poreča za devet mjeseci 2019. te rebalans godišnjeg programa rada i financijskog plana za 2019.</w:t>
      </w:r>
    </w:p>
    <w:p w14:paraId="2833CABE" w14:textId="77777777" w:rsidR="00D02216" w:rsidRDefault="00D02216">
      <w:pPr>
        <w:snapToGrid w:val="0"/>
        <w:jc w:val="both"/>
        <w:rPr>
          <w:rFonts w:asciiTheme="majorHAnsi" w:hAnsiTheme="majorHAnsi" w:cstheme="majorHAnsi"/>
          <w:sz w:val="22"/>
          <w:szCs w:val="22"/>
          <w:lang w:val="hr-HR"/>
        </w:rPr>
      </w:pPr>
    </w:p>
    <w:p w14:paraId="764D6F02" w14:textId="1A3E86EE" w:rsidR="00F20B1A" w:rsidRDefault="00F20B1A">
      <w:pPr>
        <w:snapToGrid w:val="0"/>
        <w:jc w:val="both"/>
        <w:rPr>
          <w:rFonts w:asciiTheme="majorHAnsi" w:hAnsiTheme="majorHAnsi" w:cstheme="majorHAnsi"/>
          <w:sz w:val="22"/>
          <w:szCs w:val="22"/>
          <w:lang w:val="hr-HR"/>
        </w:rPr>
      </w:pPr>
      <w:r>
        <w:rPr>
          <w:rFonts w:asciiTheme="majorHAnsi" w:hAnsiTheme="majorHAnsi" w:cstheme="majorHAnsi"/>
          <w:sz w:val="22"/>
          <w:szCs w:val="22"/>
          <w:lang w:val="hr-HR"/>
        </w:rPr>
        <w:t xml:space="preserve">Gradonačelnik Poreča Loris Peršurić, ujedno i predsjednik Skupštine, izrazio je zadovoljstvo godinom za nama, naglasivši kako je rast kontinuiran, ali i održiv. – Godinu pred nama obilježit će značajna infrastrukturna ulaganja poput uređenja gradske rive ili izgradnje hotela </w:t>
      </w:r>
      <w:proofErr w:type="spellStart"/>
      <w:r>
        <w:rPr>
          <w:rFonts w:asciiTheme="majorHAnsi" w:hAnsiTheme="majorHAnsi" w:cstheme="majorHAnsi"/>
          <w:sz w:val="22"/>
          <w:szCs w:val="22"/>
          <w:lang w:val="hr-HR"/>
        </w:rPr>
        <w:t>Pical</w:t>
      </w:r>
      <w:proofErr w:type="spellEnd"/>
      <w:r>
        <w:rPr>
          <w:rFonts w:asciiTheme="majorHAnsi" w:hAnsiTheme="majorHAnsi" w:cstheme="majorHAnsi"/>
          <w:sz w:val="22"/>
          <w:szCs w:val="22"/>
          <w:lang w:val="hr-HR"/>
        </w:rPr>
        <w:t>, uređenja novih igrališta te veliki broj kvalitetnih i raznolikih manifestacija po kojima je Poreč već sada prepoznat, rekao je Peršurić i dodao kako se Poreč među prvim gradovima u zemlji opredijelio za to da se paušal iznajmljivačima ne povećava, već je želja bila da sredstva koja bi išla za paušal, vlasnici smještajnih kapaciteta ulože u podizanje kvalitete svoje vlastite ponude i tako skupa rade na ukupnom podizanju kvalitete Poreča.</w:t>
      </w:r>
    </w:p>
    <w:p w14:paraId="65F5B370" w14:textId="77777777" w:rsidR="00D02216" w:rsidRDefault="00D02216">
      <w:pPr>
        <w:snapToGrid w:val="0"/>
        <w:jc w:val="both"/>
        <w:rPr>
          <w:rFonts w:asciiTheme="majorHAnsi" w:hAnsiTheme="majorHAnsi" w:cstheme="majorHAnsi"/>
          <w:sz w:val="22"/>
          <w:szCs w:val="22"/>
          <w:lang w:val="hr-HR"/>
        </w:rPr>
      </w:pPr>
    </w:p>
    <w:p w14:paraId="1DF1B66B" w14:textId="10B65954" w:rsidR="00D02216" w:rsidRDefault="004A75BF">
      <w:pPr>
        <w:snapToGrid w:val="0"/>
        <w:jc w:val="both"/>
        <w:rPr>
          <w:rFonts w:asciiTheme="majorHAnsi" w:hAnsiTheme="majorHAnsi" w:cstheme="majorHAnsi"/>
          <w:sz w:val="22"/>
          <w:szCs w:val="22"/>
          <w:lang w:val="hr-HR"/>
        </w:rPr>
      </w:pPr>
      <w:r>
        <w:rPr>
          <w:rFonts w:asciiTheme="majorHAnsi" w:hAnsiTheme="majorHAnsi" w:cstheme="majorHAnsi"/>
          <w:sz w:val="22"/>
          <w:szCs w:val="22"/>
          <w:lang w:val="hr-HR"/>
        </w:rPr>
        <w:t>Poreč, 19. 12. 2019.</w:t>
      </w:r>
    </w:p>
    <w:p w14:paraId="3E8DB47F" w14:textId="77777777" w:rsidR="00162A51" w:rsidRDefault="00162A51">
      <w:pPr>
        <w:snapToGrid w:val="0"/>
        <w:jc w:val="both"/>
        <w:rPr>
          <w:rFonts w:asciiTheme="majorHAnsi" w:hAnsiTheme="majorHAnsi" w:cstheme="majorHAnsi"/>
          <w:sz w:val="22"/>
          <w:szCs w:val="22"/>
          <w:lang w:val="hr-HR"/>
        </w:rPr>
      </w:pPr>
      <w:bookmarkStart w:id="0" w:name="_GoBack"/>
      <w:bookmarkEnd w:id="0"/>
    </w:p>
    <w:p w14:paraId="1321BF58" w14:textId="77777777" w:rsidR="00162A51" w:rsidRDefault="00162A51">
      <w:pPr>
        <w:snapToGrid w:val="0"/>
        <w:jc w:val="both"/>
        <w:rPr>
          <w:rFonts w:asciiTheme="majorHAnsi" w:hAnsiTheme="majorHAnsi" w:cstheme="majorHAnsi"/>
          <w:sz w:val="22"/>
          <w:szCs w:val="22"/>
          <w:lang w:val="hr-HR"/>
        </w:rPr>
      </w:pPr>
    </w:p>
    <w:p w14:paraId="7DE1E61C" w14:textId="77777777" w:rsidR="00D02216" w:rsidRDefault="004A75BF">
      <w:pPr>
        <w:jc w:val="both"/>
        <w:rPr>
          <w:rFonts w:asciiTheme="majorHAnsi" w:hAnsiTheme="majorHAnsi" w:cstheme="majorHAnsi"/>
          <w:bCs/>
          <w:sz w:val="22"/>
          <w:szCs w:val="22"/>
          <w:lang w:val="hr-HR"/>
        </w:rPr>
      </w:pPr>
      <w:r>
        <w:rPr>
          <w:rFonts w:asciiTheme="majorHAnsi" w:hAnsiTheme="majorHAnsi" w:cstheme="majorHAnsi"/>
          <w:b/>
          <w:sz w:val="22"/>
          <w:szCs w:val="22"/>
          <w:lang w:val="hr-HR"/>
        </w:rPr>
        <w:tab/>
      </w:r>
      <w:r>
        <w:rPr>
          <w:rFonts w:asciiTheme="majorHAnsi" w:hAnsiTheme="majorHAnsi" w:cstheme="majorHAnsi"/>
          <w:b/>
          <w:sz w:val="22"/>
          <w:szCs w:val="22"/>
          <w:lang w:val="hr-HR"/>
        </w:rPr>
        <w:tab/>
      </w:r>
      <w:r>
        <w:rPr>
          <w:rFonts w:asciiTheme="majorHAnsi" w:hAnsiTheme="majorHAnsi" w:cstheme="majorHAnsi"/>
          <w:b/>
          <w:sz w:val="22"/>
          <w:szCs w:val="22"/>
          <w:lang w:val="hr-HR"/>
        </w:rPr>
        <w:tab/>
      </w:r>
      <w:r>
        <w:rPr>
          <w:rFonts w:asciiTheme="majorHAnsi" w:hAnsiTheme="majorHAnsi" w:cstheme="majorHAnsi"/>
          <w:b/>
          <w:sz w:val="22"/>
          <w:szCs w:val="22"/>
          <w:lang w:val="hr-HR"/>
        </w:rPr>
        <w:tab/>
      </w:r>
      <w:r>
        <w:rPr>
          <w:rFonts w:asciiTheme="majorHAnsi" w:hAnsiTheme="majorHAnsi" w:cstheme="majorHAnsi"/>
          <w:b/>
          <w:sz w:val="22"/>
          <w:szCs w:val="22"/>
          <w:lang w:val="hr-HR"/>
        </w:rPr>
        <w:tab/>
      </w:r>
      <w:r>
        <w:rPr>
          <w:rFonts w:asciiTheme="majorHAnsi" w:hAnsiTheme="majorHAnsi" w:cstheme="majorHAnsi"/>
          <w:b/>
          <w:sz w:val="22"/>
          <w:szCs w:val="22"/>
          <w:lang w:val="hr-HR"/>
        </w:rPr>
        <w:tab/>
        <w:t xml:space="preserve">          </w:t>
      </w:r>
      <w:r>
        <w:rPr>
          <w:rFonts w:asciiTheme="majorHAnsi" w:hAnsiTheme="majorHAnsi" w:cstheme="majorHAnsi"/>
          <w:b/>
          <w:sz w:val="22"/>
          <w:szCs w:val="22"/>
          <w:lang w:val="hr-HR"/>
        </w:rPr>
        <w:tab/>
        <w:t xml:space="preserve">  </w:t>
      </w:r>
      <w:r>
        <w:rPr>
          <w:rFonts w:asciiTheme="majorHAnsi" w:hAnsiTheme="majorHAnsi" w:cstheme="majorHAnsi"/>
          <w:b/>
          <w:sz w:val="22"/>
          <w:szCs w:val="22"/>
          <w:lang w:val="hr-HR"/>
        </w:rPr>
        <w:tab/>
      </w:r>
      <w:r>
        <w:rPr>
          <w:rFonts w:asciiTheme="majorHAnsi" w:hAnsiTheme="majorHAnsi" w:cstheme="majorHAnsi"/>
          <w:bCs/>
          <w:sz w:val="22"/>
          <w:szCs w:val="22"/>
          <w:lang w:val="hr-HR"/>
        </w:rPr>
        <w:t xml:space="preserve">      TURISTIČKA ZAJEDNICA</w:t>
      </w:r>
    </w:p>
    <w:p w14:paraId="5E45BA61" w14:textId="77777777" w:rsidR="00D02216" w:rsidRDefault="004A75BF">
      <w:pPr>
        <w:jc w:val="both"/>
        <w:rPr>
          <w:rFonts w:asciiTheme="majorHAnsi" w:hAnsiTheme="majorHAnsi" w:cstheme="majorHAnsi"/>
          <w:bCs/>
          <w:sz w:val="22"/>
          <w:szCs w:val="22"/>
          <w:lang w:val="hr-HR"/>
        </w:rPr>
      </w:pPr>
      <w:r>
        <w:rPr>
          <w:rFonts w:asciiTheme="majorHAnsi" w:hAnsiTheme="majorHAnsi" w:cstheme="majorHAnsi"/>
          <w:bCs/>
          <w:sz w:val="22"/>
          <w:szCs w:val="22"/>
          <w:lang w:val="hr-HR"/>
        </w:rPr>
        <w:tab/>
      </w:r>
      <w:r>
        <w:rPr>
          <w:rFonts w:asciiTheme="majorHAnsi" w:hAnsiTheme="majorHAnsi" w:cstheme="majorHAnsi"/>
          <w:bCs/>
          <w:sz w:val="22"/>
          <w:szCs w:val="22"/>
          <w:lang w:val="hr-HR"/>
        </w:rPr>
        <w:tab/>
      </w:r>
      <w:r>
        <w:rPr>
          <w:rFonts w:asciiTheme="majorHAnsi" w:hAnsiTheme="majorHAnsi" w:cstheme="majorHAnsi"/>
          <w:bCs/>
          <w:sz w:val="22"/>
          <w:szCs w:val="22"/>
          <w:lang w:val="hr-HR"/>
        </w:rPr>
        <w:tab/>
      </w:r>
      <w:r>
        <w:rPr>
          <w:rFonts w:asciiTheme="majorHAnsi" w:hAnsiTheme="majorHAnsi" w:cstheme="majorHAnsi"/>
          <w:bCs/>
          <w:sz w:val="22"/>
          <w:szCs w:val="22"/>
          <w:lang w:val="hr-HR"/>
        </w:rPr>
        <w:tab/>
      </w:r>
      <w:r>
        <w:rPr>
          <w:rFonts w:asciiTheme="majorHAnsi" w:hAnsiTheme="majorHAnsi" w:cstheme="majorHAnsi"/>
          <w:bCs/>
          <w:sz w:val="22"/>
          <w:szCs w:val="22"/>
          <w:lang w:val="hr-HR"/>
        </w:rPr>
        <w:tab/>
      </w:r>
      <w:r>
        <w:rPr>
          <w:rFonts w:asciiTheme="majorHAnsi" w:hAnsiTheme="majorHAnsi" w:cstheme="majorHAnsi"/>
          <w:bCs/>
          <w:sz w:val="22"/>
          <w:szCs w:val="22"/>
          <w:lang w:val="hr-HR"/>
        </w:rPr>
        <w:tab/>
      </w:r>
      <w:r>
        <w:rPr>
          <w:rFonts w:asciiTheme="majorHAnsi" w:hAnsiTheme="majorHAnsi" w:cstheme="majorHAnsi"/>
          <w:bCs/>
          <w:sz w:val="22"/>
          <w:szCs w:val="22"/>
          <w:lang w:val="hr-HR"/>
        </w:rPr>
        <w:tab/>
      </w:r>
      <w:r>
        <w:rPr>
          <w:rFonts w:asciiTheme="majorHAnsi" w:hAnsiTheme="majorHAnsi" w:cstheme="majorHAnsi"/>
          <w:bCs/>
          <w:sz w:val="22"/>
          <w:szCs w:val="22"/>
          <w:lang w:val="hr-HR"/>
        </w:rPr>
        <w:tab/>
      </w:r>
      <w:r>
        <w:rPr>
          <w:rFonts w:asciiTheme="majorHAnsi" w:hAnsiTheme="majorHAnsi" w:cstheme="majorHAnsi"/>
          <w:bCs/>
          <w:sz w:val="22"/>
          <w:szCs w:val="22"/>
          <w:lang w:val="hr-HR"/>
        </w:rPr>
        <w:tab/>
        <w:t>GRADA POREČA</w:t>
      </w:r>
    </w:p>
    <w:sectPr w:rsidR="00D02216" w:rsidSect="00162A51">
      <w:headerReference w:type="default" r:id="rId11"/>
      <w:footerReference w:type="even" r:id="rId12"/>
      <w:footerReference w:type="default" r:id="rId13"/>
      <w:headerReference w:type="first" r:id="rId14"/>
      <w:footerReference w:type="first" r:id="rId15"/>
      <w:pgSz w:w="11900" w:h="16840"/>
      <w:pgMar w:top="2127" w:right="1127" w:bottom="1702"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B082B" w14:textId="77777777" w:rsidR="00D02216" w:rsidRDefault="004A75BF">
      <w:r>
        <w:separator/>
      </w:r>
    </w:p>
  </w:endnote>
  <w:endnote w:type="continuationSeparator" w:id="0">
    <w:p w14:paraId="41A19DE5" w14:textId="77777777" w:rsidR="00D02216" w:rsidRDefault="004A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115">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ctora">
    <w:altName w:val="Arial"/>
    <w:panose1 w:val="00000000000000000000"/>
    <w:charset w:val="00"/>
    <w:family w:val="swiss"/>
    <w:notTrueType/>
    <w:pitch w:val="variable"/>
    <w:sig w:usb0="800000AF" w:usb1="4807204A"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128EF" w14:textId="77777777" w:rsidR="00D02216" w:rsidRDefault="004A75BF">
    <w:pPr>
      <w:pStyle w:val="Podnoje"/>
      <w:ind w:left="-1701"/>
      <w:rPr>
        <w:lang w:val="hr-HR"/>
      </w:rPr>
    </w:pPr>
    <w:r>
      <w:rPr>
        <w:noProof/>
        <w:lang w:val="hr-HR" w:eastAsia="hr-HR"/>
      </w:rPr>
      <w:drawing>
        <wp:inline distT="0" distB="0" distL="0" distR="0" wp14:anchorId="57EB14B4" wp14:editId="0B5E753A">
          <wp:extent cx="7600950" cy="1006948"/>
          <wp:effectExtent l="0" t="0" r="0" b="3175"/>
          <wp:docPr id="13" name="Slika 13" descr="memo_porec_footer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_porec_footer_09"/>
                  <pic:cNvPicPr>
                    <a:picLocks noChangeAspect="1" noChangeArrowheads="1"/>
                  </pic:cNvPicPr>
                </pic:nvPicPr>
                <pic:blipFill rotWithShape="1">
                  <a:blip r:embed="rId1">
                    <a:extLst>
                      <a:ext uri="{28A0092B-C50C-407E-A947-70E740481C1C}">
                        <a14:useLocalDpi xmlns:a14="http://schemas.microsoft.com/office/drawing/2010/main" val="0"/>
                      </a:ext>
                    </a:extLst>
                  </a:blip>
                  <a:srcRect t="30905"/>
                  <a:stretch/>
                </pic:blipFill>
                <pic:spPr bwMode="auto">
                  <a:xfrm>
                    <a:off x="0" y="0"/>
                    <a:ext cx="7600950" cy="100694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5BC5" w14:textId="77777777" w:rsidR="00D02216" w:rsidRDefault="00D02216">
    <w:pPr>
      <w:pStyle w:val="Podnoje"/>
      <w:ind w:left="-1701"/>
      <w:rPr>
        <w:lang w:val="hr-H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364F" w14:textId="77777777" w:rsidR="00D02216" w:rsidRDefault="004A75BF">
    <w:pPr>
      <w:pStyle w:val="Podnoje"/>
      <w:ind w:left="-1701"/>
    </w:pPr>
    <w:r>
      <w:rPr>
        <w:noProof/>
        <w:lang w:val="hr-HR" w:eastAsia="hr-HR"/>
      </w:rPr>
      <w:drawing>
        <wp:inline distT="0" distB="0" distL="0" distR="0" wp14:anchorId="3E4F5F92" wp14:editId="06122874">
          <wp:extent cx="7600950" cy="666750"/>
          <wp:effectExtent l="0" t="0" r="0" b="0"/>
          <wp:docPr id="15" name="Slika 15" descr="memo_porec_footer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_porec_footer_09"/>
                  <pic:cNvPicPr>
                    <a:picLocks noChangeAspect="1" noChangeArrowheads="1"/>
                  </pic:cNvPicPr>
                </pic:nvPicPr>
                <pic:blipFill>
                  <a:blip r:embed="rId1">
                    <a:extLst>
                      <a:ext uri="{28A0092B-C50C-407E-A947-70E740481C1C}">
                        <a14:useLocalDpi xmlns:a14="http://schemas.microsoft.com/office/drawing/2010/main" val="0"/>
                      </a:ext>
                    </a:extLst>
                  </a:blip>
                  <a:srcRect t="38499" b="15506"/>
                  <a:stretch>
                    <a:fillRect/>
                  </a:stretch>
                </pic:blipFill>
                <pic:spPr bwMode="auto">
                  <a:xfrm>
                    <a:off x="0" y="0"/>
                    <a:ext cx="7600950" cy="666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140DE" w14:textId="77777777" w:rsidR="00D02216" w:rsidRDefault="004A75BF">
      <w:r>
        <w:separator/>
      </w:r>
    </w:p>
  </w:footnote>
  <w:footnote w:type="continuationSeparator" w:id="0">
    <w:p w14:paraId="54B5FFC1" w14:textId="77777777" w:rsidR="00D02216" w:rsidRDefault="004A7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4E31" w14:textId="77777777" w:rsidR="00D02216" w:rsidRDefault="00D02216">
    <w:pPr>
      <w:pStyle w:val="Zaglavlje"/>
      <w:ind w:left="-170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9E756" w14:textId="77777777" w:rsidR="00D02216" w:rsidRDefault="004A75BF">
    <w:pPr>
      <w:pStyle w:val="Zaglavlje"/>
      <w:ind w:left="-1701"/>
    </w:pPr>
    <w:r>
      <w:rPr>
        <w:noProof/>
        <w:lang w:val="hr-HR" w:eastAsia="hr-HR"/>
      </w:rPr>
      <w:drawing>
        <wp:inline distT="0" distB="0" distL="0" distR="0" wp14:anchorId="656C4AA0" wp14:editId="0677D5BD">
          <wp:extent cx="2238375" cy="1476375"/>
          <wp:effectExtent l="0" t="0" r="0" b="0"/>
          <wp:docPr id="14" name="Picture 1" descr=":jpgs:memo_header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s:memo_header_05.jpg"/>
                  <pic:cNvPicPr>
                    <a:picLocks noChangeAspect="1" noChangeArrowheads="1"/>
                  </pic:cNvPicPr>
                </pic:nvPicPr>
                <pic:blipFill>
                  <a:blip r:embed="rId1">
                    <a:extLst>
                      <a:ext uri="{28A0092B-C50C-407E-A947-70E740481C1C}">
                        <a14:useLocalDpi xmlns:a14="http://schemas.microsoft.com/office/drawing/2010/main" val="0"/>
                      </a:ext>
                    </a:extLst>
                  </a:blip>
                  <a:srcRect t="13823" b="27629"/>
                  <a:stretch>
                    <a:fillRect/>
                  </a:stretch>
                </pic:blipFill>
                <pic:spPr bwMode="auto">
                  <a:xfrm>
                    <a:off x="0" y="0"/>
                    <a:ext cx="2238375" cy="1476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B5AEE"/>
    <w:multiLevelType w:val="hybridMultilevel"/>
    <w:tmpl w:val="5F8A98FA"/>
    <w:lvl w:ilvl="0" w:tplc="041A000D">
      <w:start w:val="1"/>
      <w:numFmt w:val="bullet"/>
      <w:lvlText w:val=""/>
      <w:lvlJc w:val="left"/>
      <w:pPr>
        <w:ind w:left="1434" w:hanging="360"/>
      </w:pPr>
      <w:rPr>
        <w:rFonts w:ascii="Wingdings" w:hAnsi="Wingding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1" w15:restartNumberingAfterBreak="0">
    <w:nsid w:val="1DEB6B3C"/>
    <w:multiLevelType w:val="hybridMultilevel"/>
    <w:tmpl w:val="440041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E66366A"/>
    <w:multiLevelType w:val="hybridMultilevel"/>
    <w:tmpl w:val="6BC00C02"/>
    <w:lvl w:ilvl="0" w:tplc="2222F8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CA0FFA"/>
    <w:multiLevelType w:val="hybridMultilevel"/>
    <w:tmpl w:val="442A917A"/>
    <w:lvl w:ilvl="0" w:tplc="2222F8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5924ED0"/>
    <w:multiLevelType w:val="hybridMultilevel"/>
    <w:tmpl w:val="73CE3854"/>
    <w:lvl w:ilvl="0" w:tplc="2222F8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AF737B"/>
    <w:multiLevelType w:val="hybridMultilevel"/>
    <w:tmpl w:val="4D9E0CAE"/>
    <w:lvl w:ilvl="0" w:tplc="E156439E">
      <w:start w:val="1"/>
      <w:numFmt w:val="decimal"/>
      <w:lvlText w:val="%1."/>
      <w:lvlJc w:val="left"/>
      <w:pPr>
        <w:ind w:left="1065" w:hanging="360"/>
      </w:pPr>
      <w:rPr>
        <w:rFonts w:hint="default"/>
        <w:b w:val="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3ACE3091"/>
    <w:multiLevelType w:val="hybridMultilevel"/>
    <w:tmpl w:val="1F64A696"/>
    <w:lvl w:ilvl="0" w:tplc="6508816E">
      <w:start w:val="1"/>
      <w:numFmt w:val="decimal"/>
      <w:lvlText w:val="%1."/>
      <w:lvlJc w:val="center"/>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9FA208B"/>
    <w:multiLevelType w:val="hybridMultilevel"/>
    <w:tmpl w:val="6290ACDC"/>
    <w:lvl w:ilvl="0" w:tplc="F7841C26">
      <w:start w:val="22"/>
      <w:numFmt w:val="bullet"/>
      <w:lvlText w:val="-"/>
      <w:lvlJc w:val="left"/>
      <w:pPr>
        <w:ind w:left="1065" w:hanging="360"/>
      </w:pPr>
      <w:rPr>
        <w:rFonts w:ascii="115" w:eastAsia="Times New Roman" w:hAnsi="115"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8" w15:restartNumberingAfterBreak="0">
    <w:nsid w:val="5B0645B7"/>
    <w:multiLevelType w:val="hybridMultilevel"/>
    <w:tmpl w:val="FEAA591C"/>
    <w:lvl w:ilvl="0" w:tplc="FF9E0906">
      <w:start w:val="1"/>
      <w:numFmt w:val="bullet"/>
      <w:lvlText w:val=""/>
      <w:lvlJc w:val="left"/>
      <w:pPr>
        <w:ind w:left="720" w:hanging="360"/>
      </w:pPr>
      <w:rPr>
        <w:rFonts w:ascii="Wingdings" w:hAnsi="Wingdings"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B5A5163"/>
    <w:multiLevelType w:val="hybridMultilevel"/>
    <w:tmpl w:val="3056C54C"/>
    <w:lvl w:ilvl="0" w:tplc="1C8ED3EC">
      <w:start w:val="1"/>
      <w:numFmt w:val="bullet"/>
      <w:lvlText w:val=""/>
      <w:lvlJc w:val="left"/>
      <w:pPr>
        <w:ind w:left="720" w:hanging="360"/>
      </w:pPr>
      <w:rPr>
        <w:rFonts w:ascii="Wingdings" w:hAnsi="Wingdings" w:hint="default"/>
        <w:color w:val="0070C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FE36054"/>
    <w:multiLevelType w:val="hybridMultilevel"/>
    <w:tmpl w:val="676AB788"/>
    <w:lvl w:ilvl="0" w:tplc="2222F8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51E0B83"/>
    <w:multiLevelType w:val="hybridMultilevel"/>
    <w:tmpl w:val="094E698E"/>
    <w:lvl w:ilvl="0" w:tplc="041A000B">
      <w:start w:val="1"/>
      <w:numFmt w:val="bullet"/>
      <w:lvlText w:val=""/>
      <w:lvlJc w:val="left"/>
      <w:pPr>
        <w:ind w:left="720" w:hanging="360"/>
      </w:pPr>
      <w:rPr>
        <w:rFonts w:ascii="Wingdings" w:hAnsi="Wingdings" w:hint="default"/>
        <w:lang w:val="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7E46534"/>
    <w:multiLevelType w:val="hybridMultilevel"/>
    <w:tmpl w:val="01E86FC0"/>
    <w:lvl w:ilvl="0" w:tplc="041A000B">
      <w:start w:val="1"/>
      <w:numFmt w:val="bullet"/>
      <w:lvlText w:val=""/>
      <w:lvlJc w:val="left"/>
      <w:pPr>
        <w:ind w:left="812" w:hanging="360"/>
      </w:pPr>
      <w:rPr>
        <w:rFonts w:ascii="Wingdings" w:hAnsi="Wingdings" w:hint="default"/>
      </w:rPr>
    </w:lvl>
    <w:lvl w:ilvl="1" w:tplc="041A0003" w:tentative="1">
      <w:start w:val="1"/>
      <w:numFmt w:val="bullet"/>
      <w:lvlText w:val="o"/>
      <w:lvlJc w:val="left"/>
      <w:pPr>
        <w:ind w:left="1532" w:hanging="360"/>
      </w:pPr>
      <w:rPr>
        <w:rFonts w:ascii="Courier New" w:hAnsi="Courier New" w:cs="Courier New" w:hint="default"/>
      </w:rPr>
    </w:lvl>
    <w:lvl w:ilvl="2" w:tplc="041A0005" w:tentative="1">
      <w:start w:val="1"/>
      <w:numFmt w:val="bullet"/>
      <w:lvlText w:val=""/>
      <w:lvlJc w:val="left"/>
      <w:pPr>
        <w:ind w:left="2252" w:hanging="360"/>
      </w:pPr>
      <w:rPr>
        <w:rFonts w:ascii="Wingdings" w:hAnsi="Wingdings" w:hint="default"/>
      </w:rPr>
    </w:lvl>
    <w:lvl w:ilvl="3" w:tplc="041A0001" w:tentative="1">
      <w:start w:val="1"/>
      <w:numFmt w:val="bullet"/>
      <w:lvlText w:val=""/>
      <w:lvlJc w:val="left"/>
      <w:pPr>
        <w:ind w:left="2972" w:hanging="360"/>
      </w:pPr>
      <w:rPr>
        <w:rFonts w:ascii="Symbol" w:hAnsi="Symbol" w:hint="default"/>
      </w:rPr>
    </w:lvl>
    <w:lvl w:ilvl="4" w:tplc="041A0003" w:tentative="1">
      <w:start w:val="1"/>
      <w:numFmt w:val="bullet"/>
      <w:lvlText w:val="o"/>
      <w:lvlJc w:val="left"/>
      <w:pPr>
        <w:ind w:left="3692" w:hanging="360"/>
      </w:pPr>
      <w:rPr>
        <w:rFonts w:ascii="Courier New" w:hAnsi="Courier New" w:cs="Courier New" w:hint="default"/>
      </w:rPr>
    </w:lvl>
    <w:lvl w:ilvl="5" w:tplc="041A0005" w:tentative="1">
      <w:start w:val="1"/>
      <w:numFmt w:val="bullet"/>
      <w:lvlText w:val=""/>
      <w:lvlJc w:val="left"/>
      <w:pPr>
        <w:ind w:left="4412" w:hanging="360"/>
      </w:pPr>
      <w:rPr>
        <w:rFonts w:ascii="Wingdings" w:hAnsi="Wingdings" w:hint="default"/>
      </w:rPr>
    </w:lvl>
    <w:lvl w:ilvl="6" w:tplc="041A0001" w:tentative="1">
      <w:start w:val="1"/>
      <w:numFmt w:val="bullet"/>
      <w:lvlText w:val=""/>
      <w:lvlJc w:val="left"/>
      <w:pPr>
        <w:ind w:left="5132" w:hanging="360"/>
      </w:pPr>
      <w:rPr>
        <w:rFonts w:ascii="Symbol" w:hAnsi="Symbol" w:hint="default"/>
      </w:rPr>
    </w:lvl>
    <w:lvl w:ilvl="7" w:tplc="041A0003" w:tentative="1">
      <w:start w:val="1"/>
      <w:numFmt w:val="bullet"/>
      <w:lvlText w:val="o"/>
      <w:lvlJc w:val="left"/>
      <w:pPr>
        <w:ind w:left="5852" w:hanging="360"/>
      </w:pPr>
      <w:rPr>
        <w:rFonts w:ascii="Courier New" w:hAnsi="Courier New" w:cs="Courier New" w:hint="default"/>
      </w:rPr>
    </w:lvl>
    <w:lvl w:ilvl="8" w:tplc="041A0005" w:tentative="1">
      <w:start w:val="1"/>
      <w:numFmt w:val="bullet"/>
      <w:lvlText w:val=""/>
      <w:lvlJc w:val="left"/>
      <w:pPr>
        <w:ind w:left="6572" w:hanging="360"/>
      </w:pPr>
      <w:rPr>
        <w:rFonts w:ascii="Wingdings" w:hAnsi="Wingdings" w:hint="default"/>
      </w:rPr>
    </w:lvl>
  </w:abstractNum>
  <w:abstractNum w:abstractNumId="13" w15:restartNumberingAfterBreak="0">
    <w:nsid w:val="691218A7"/>
    <w:multiLevelType w:val="hybridMultilevel"/>
    <w:tmpl w:val="F4C839D4"/>
    <w:lvl w:ilvl="0" w:tplc="C750E00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980323A"/>
    <w:multiLevelType w:val="hybridMultilevel"/>
    <w:tmpl w:val="3D8C836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DB3755"/>
    <w:multiLevelType w:val="hybridMultilevel"/>
    <w:tmpl w:val="EEE44B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B140FD9"/>
    <w:multiLevelType w:val="hybridMultilevel"/>
    <w:tmpl w:val="77EC23AA"/>
    <w:lvl w:ilvl="0" w:tplc="041A0011">
      <w:start w:val="1"/>
      <w:numFmt w:val="decimal"/>
      <w:lvlText w:val="%1)"/>
      <w:lvlJc w:val="left"/>
      <w:pPr>
        <w:ind w:left="360" w:hanging="360"/>
      </w:pPr>
    </w:lvl>
    <w:lvl w:ilvl="1" w:tplc="041A0019">
      <w:start w:val="1"/>
      <w:numFmt w:val="lowerLetter"/>
      <w:lvlText w:val="%2."/>
      <w:lvlJc w:val="left"/>
      <w:pPr>
        <w:ind w:left="1135"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4"/>
  </w:num>
  <w:num w:numId="2">
    <w:abstractNumId w:val="5"/>
  </w:num>
  <w:num w:numId="3">
    <w:abstractNumId w:val="7"/>
  </w:num>
  <w:num w:numId="4">
    <w:abstractNumId w:val="12"/>
  </w:num>
  <w:num w:numId="5">
    <w:abstractNumId w:val="8"/>
  </w:num>
  <w:num w:numId="6">
    <w:abstractNumId w:val="6"/>
  </w:num>
  <w:num w:numId="7">
    <w:abstractNumId w:val="16"/>
  </w:num>
  <w:num w:numId="8">
    <w:abstractNumId w:val="13"/>
  </w:num>
  <w:num w:numId="9">
    <w:abstractNumId w:val="1"/>
  </w:num>
  <w:num w:numId="10">
    <w:abstractNumId w:val="15"/>
  </w:num>
  <w:num w:numId="11">
    <w:abstractNumId w:val="3"/>
  </w:num>
  <w:num w:numId="12">
    <w:abstractNumId w:val="10"/>
  </w:num>
  <w:num w:numId="13">
    <w:abstractNumId w:val="4"/>
  </w:num>
  <w:num w:numId="14">
    <w:abstractNumId w:val="2"/>
  </w:num>
  <w:num w:numId="15">
    <w:abstractNumId w:val="11"/>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yNjQ3MDQ2MTc1NbRU0lEKTi0uzszPAykwrAUAB/gQwSwAAAA="/>
  </w:docVars>
  <w:rsids>
    <w:rsidRoot w:val="00D02216"/>
    <w:rsid w:val="00162A51"/>
    <w:rsid w:val="004A75BF"/>
    <w:rsid w:val="006E3BAF"/>
    <w:rsid w:val="00D02216"/>
    <w:rsid w:val="00F20B1A"/>
    <w:rsid w:val="00F422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6F0AF2CD"/>
  <w15:chartTrackingRefBased/>
  <w15:docId w15:val="{B9DEA6D0-FA34-4B98-B51D-9B9C102D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lang w:val="en-US" w:eastAsia="en-US"/>
    </w:rPr>
  </w:style>
  <w:style w:type="paragraph" w:styleId="Naslov1">
    <w:name w:val="heading 1"/>
    <w:basedOn w:val="Normal"/>
    <w:link w:val="Naslov1Char"/>
    <w:uiPriority w:val="9"/>
    <w:qFormat/>
    <w:pPr>
      <w:spacing w:before="100" w:beforeAutospacing="1" w:after="100" w:afterAutospacing="1"/>
      <w:outlineLvl w:val="0"/>
    </w:pPr>
    <w:rPr>
      <w:b/>
      <w:bCs/>
      <w:kern w:val="36"/>
      <w:sz w:val="48"/>
      <w:szCs w:val="48"/>
      <w:lang w:val="hr-HR" w:eastAsia="hr-HR"/>
    </w:rPr>
  </w:style>
  <w:style w:type="paragraph" w:styleId="Naslov3">
    <w:name w:val="heading 3"/>
    <w:basedOn w:val="Normal"/>
    <w:next w:val="Normal"/>
    <w:link w:val="Naslov3Char"/>
    <w:unhideWhenUsed/>
    <w:qFormat/>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pPr>
      <w:tabs>
        <w:tab w:val="center" w:pos="4320"/>
        <w:tab w:val="right" w:pos="8640"/>
      </w:tabs>
    </w:pPr>
    <w:rPr>
      <w:rFonts w:ascii="Cambria" w:eastAsia="Cambria" w:hAnsi="Cambria"/>
      <w:szCs w:val="24"/>
    </w:rPr>
  </w:style>
  <w:style w:type="character" w:customStyle="1" w:styleId="ZaglavljeChar">
    <w:name w:val="Zaglavlje Char"/>
    <w:link w:val="Zaglavlje"/>
    <w:uiPriority w:val="99"/>
    <w:rPr>
      <w:sz w:val="24"/>
      <w:szCs w:val="24"/>
    </w:rPr>
  </w:style>
  <w:style w:type="paragraph" w:styleId="Podnoje">
    <w:name w:val="footer"/>
    <w:basedOn w:val="Normal"/>
    <w:link w:val="PodnojeChar"/>
    <w:uiPriority w:val="99"/>
    <w:semiHidden/>
    <w:unhideWhenUsed/>
    <w:pPr>
      <w:tabs>
        <w:tab w:val="center" w:pos="4320"/>
        <w:tab w:val="right" w:pos="8640"/>
      </w:tabs>
    </w:pPr>
    <w:rPr>
      <w:rFonts w:ascii="Cambria" w:eastAsia="Cambria" w:hAnsi="Cambria"/>
      <w:szCs w:val="24"/>
    </w:rPr>
  </w:style>
  <w:style w:type="character" w:customStyle="1" w:styleId="PodnojeChar">
    <w:name w:val="Podnožje Char"/>
    <w:link w:val="Podnoje"/>
    <w:uiPriority w:val="99"/>
    <w:semiHidden/>
    <w:rPr>
      <w:sz w:val="24"/>
      <w:szCs w:val="24"/>
    </w:rPr>
  </w:style>
  <w:style w:type="character" w:styleId="Hiperveza">
    <w:name w:val="Hyperlink"/>
    <w:rPr>
      <w:color w:val="0000FF"/>
      <w:u w:val="single"/>
    </w:rPr>
  </w:style>
  <w:style w:type="paragraph" w:styleId="Tekstbalonia">
    <w:name w:val="Balloon Text"/>
    <w:basedOn w:val="Normal"/>
    <w:link w:val="TekstbaloniaChar"/>
    <w:rPr>
      <w:rFonts w:ascii="Tahoma" w:hAnsi="Tahoma" w:cs="Tahoma"/>
      <w:sz w:val="16"/>
      <w:szCs w:val="16"/>
    </w:rPr>
  </w:style>
  <w:style w:type="character" w:customStyle="1" w:styleId="TekstbaloniaChar">
    <w:name w:val="Tekst balončića Char"/>
    <w:link w:val="Tekstbalonia"/>
    <w:rPr>
      <w:rFonts w:ascii="Tahoma" w:eastAsia="Times New Roman" w:hAnsi="Tahoma" w:cs="Tahoma"/>
      <w:sz w:val="16"/>
      <w:szCs w:val="16"/>
      <w:lang w:val="en-US" w:eastAsia="en-US"/>
    </w:rPr>
  </w:style>
  <w:style w:type="character" w:styleId="Istaknuto">
    <w:name w:val="Emphasis"/>
    <w:qFormat/>
    <w:rPr>
      <w:i/>
      <w:iCs/>
    </w:rPr>
  </w:style>
  <w:style w:type="paragraph" w:customStyle="1" w:styleId="BodyA">
    <w:name w:val="Body 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hr-BA" w:eastAsia="hr-BA"/>
    </w:rPr>
  </w:style>
  <w:style w:type="paragraph" w:customStyle="1" w:styleId="Default">
    <w:name w:val="Default"/>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hr-BA" w:eastAsia="hr-BA"/>
    </w:rPr>
  </w:style>
  <w:style w:type="character" w:customStyle="1" w:styleId="None">
    <w:name w:val="None"/>
  </w:style>
  <w:style w:type="character" w:customStyle="1" w:styleId="Hyperlink0">
    <w:name w:val="Hyperlink.0"/>
    <w:basedOn w:val="None"/>
    <w:rPr>
      <w:rFonts w:ascii="Calibri" w:eastAsia="Calibri" w:hAnsi="Calibri" w:cs="Calibri"/>
      <w:u w:val="single"/>
      <w:lang w:val="en-US"/>
    </w:rPr>
  </w:style>
  <w:style w:type="character" w:customStyle="1" w:styleId="Hyperlink1">
    <w:name w:val="Hyperlink.1"/>
    <w:basedOn w:val="None"/>
    <w:rPr>
      <w:rFonts w:ascii="Calibri" w:eastAsia="Calibri" w:hAnsi="Calibri" w:cs="Calibri"/>
      <w:u w:val="single"/>
    </w:rPr>
  </w:style>
  <w:style w:type="character" w:customStyle="1" w:styleId="Naslov1Char">
    <w:name w:val="Naslov 1 Char"/>
    <w:basedOn w:val="Zadanifontodlomka"/>
    <w:link w:val="Naslov1"/>
    <w:uiPriority w:val="9"/>
    <w:rPr>
      <w:rFonts w:ascii="Times New Roman" w:eastAsia="Times New Roman" w:hAnsi="Times New Roman"/>
      <w:b/>
      <w:bCs/>
      <w:kern w:val="36"/>
      <w:sz w:val="48"/>
      <w:szCs w:val="48"/>
    </w:rPr>
  </w:style>
  <w:style w:type="character" w:customStyle="1" w:styleId="Naslov3Char">
    <w:name w:val="Naslov 3 Char"/>
    <w:basedOn w:val="Zadanifontodlomka"/>
    <w:link w:val="Naslov3"/>
    <w:rPr>
      <w:rFonts w:asciiTheme="majorHAnsi" w:eastAsiaTheme="majorEastAsia" w:hAnsiTheme="majorHAnsi" w:cstheme="majorBidi"/>
      <w:color w:val="1F3763" w:themeColor="accent1" w:themeShade="7F"/>
      <w:sz w:val="24"/>
      <w:szCs w:val="24"/>
      <w:lang w:val="en-US" w:eastAsia="en-US"/>
    </w:rPr>
  </w:style>
  <w:style w:type="paragraph" w:styleId="Odlomakpopisa">
    <w:name w:val="List Paragraph"/>
    <w:basedOn w:val="Normal"/>
    <w:uiPriority w:val="34"/>
    <w:qFormat/>
    <w:pPr>
      <w:ind w:left="720"/>
    </w:pPr>
    <w:rPr>
      <w:rFonts w:ascii="Calibri" w:eastAsia="Calibri" w:hAnsi="Calibri" w:cs="Calibri"/>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428">
      <w:bodyDiv w:val="1"/>
      <w:marLeft w:val="0"/>
      <w:marRight w:val="0"/>
      <w:marTop w:val="0"/>
      <w:marBottom w:val="0"/>
      <w:divBdr>
        <w:top w:val="none" w:sz="0" w:space="0" w:color="auto"/>
        <w:left w:val="none" w:sz="0" w:space="0" w:color="auto"/>
        <w:bottom w:val="none" w:sz="0" w:space="0" w:color="auto"/>
        <w:right w:val="none" w:sz="0" w:space="0" w:color="auto"/>
      </w:divBdr>
    </w:div>
    <w:div w:id="226231632">
      <w:bodyDiv w:val="1"/>
      <w:marLeft w:val="0"/>
      <w:marRight w:val="0"/>
      <w:marTop w:val="0"/>
      <w:marBottom w:val="0"/>
      <w:divBdr>
        <w:top w:val="none" w:sz="0" w:space="0" w:color="auto"/>
        <w:left w:val="none" w:sz="0" w:space="0" w:color="auto"/>
        <w:bottom w:val="none" w:sz="0" w:space="0" w:color="auto"/>
        <w:right w:val="none" w:sz="0" w:space="0" w:color="auto"/>
      </w:divBdr>
    </w:div>
    <w:div w:id="389693413">
      <w:bodyDiv w:val="1"/>
      <w:marLeft w:val="0"/>
      <w:marRight w:val="0"/>
      <w:marTop w:val="0"/>
      <w:marBottom w:val="0"/>
      <w:divBdr>
        <w:top w:val="none" w:sz="0" w:space="0" w:color="auto"/>
        <w:left w:val="none" w:sz="0" w:space="0" w:color="auto"/>
        <w:bottom w:val="none" w:sz="0" w:space="0" w:color="auto"/>
        <w:right w:val="none" w:sz="0" w:space="0" w:color="auto"/>
      </w:divBdr>
    </w:div>
    <w:div w:id="436607891">
      <w:bodyDiv w:val="1"/>
      <w:marLeft w:val="0"/>
      <w:marRight w:val="0"/>
      <w:marTop w:val="0"/>
      <w:marBottom w:val="0"/>
      <w:divBdr>
        <w:top w:val="none" w:sz="0" w:space="0" w:color="auto"/>
        <w:left w:val="none" w:sz="0" w:space="0" w:color="auto"/>
        <w:bottom w:val="none" w:sz="0" w:space="0" w:color="auto"/>
        <w:right w:val="none" w:sz="0" w:space="0" w:color="auto"/>
      </w:divBdr>
    </w:div>
    <w:div w:id="453911304">
      <w:bodyDiv w:val="1"/>
      <w:marLeft w:val="0"/>
      <w:marRight w:val="0"/>
      <w:marTop w:val="0"/>
      <w:marBottom w:val="0"/>
      <w:divBdr>
        <w:top w:val="none" w:sz="0" w:space="0" w:color="auto"/>
        <w:left w:val="none" w:sz="0" w:space="0" w:color="auto"/>
        <w:bottom w:val="none" w:sz="0" w:space="0" w:color="auto"/>
        <w:right w:val="none" w:sz="0" w:space="0" w:color="auto"/>
      </w:divBdr>
    </w:div>
    <w:div w:id="612252201">
      <w:bodyDiv w:val="1"/>
      <w:marLeft w:val="0"/>
      <w:marRight w:val="0"/>
      <w:marTop w:val="0"/>
      <w:marBottom w:val="0"/>
      <w:divBdr>
        <w:top w:val="none" w:sz="0" w:space="0" w:color="auto"/>
        <w:left w:val="none" w:sz="0" w:space="0" w:color="auto"/>
        <w:bottom w:val="none" w:sz="0" w:space="0" w:color="auto"/>
        <w:right w:val="none" w:sz="0" w:space="0" w:color="auto"/>
      </w:divBdr>
      <w:divsChild>
        <w:div w:id="1481188842">
          <w:marLeft w:val="0"/>
          <w:marRight w:val="0"/>
          <w:marTop w:val="0"/>
          <w:marBottom w:val="0"/>
          <w:divBdr>
            <w:top w:val="none" w:sz="0" w:space="0" w:color="auto"/>
            <w:left w:val="none" w:sz="0" w:space="0" w:color="auto"/>
            <w:bottom w:val="none" w:sz="0" w:space="0" w:color="auto"/>
            <w:right w:val="none" w:sz="0" w:space="0" w:color="auto"/>
          </w:divBdr>
          <w:divsChild>
            <w:div w:id="1007557129">
              <w:marLeft w:val="0"/>
              <w:marRight w:val="0"/>
              <w:marTop w:val="0"/>
              <w:marBottom w:val="0"/>
              <w:divBdr>
                <w:top w:val="none" w:sz="0" w:space="0" w:color="auto"/>
                <w:left w:val="none" w:sz="0" w:space="0" w:color="auto"/>
                <w:bottom w:val="none" w:sz="0" w:space="0" w:color="auto"/>
                <w:right w:val="none" w:sz="0" w:space="0" w:color="auto"/>
              </w:divBdr>
              <w:divsChild>
                <w:div w:id="16889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5929">
      <w:bodyDiv w:val="1"/>
      <w:marLeft w:val="0"/>
      <w:marRight w:val="0"/>
      <w:marTop w:val="0"/>
      <w:marBottom w:val="0"/>
      <w:divBdr>
        <w:top w:val="none" w:sz="0" w:space="0" w:color="auto"/>
        <w:left w:val="none" w:sz="0" w:space="0" w:color="auto"/>
        <w:bottom w:val="none" w:sz="0" w:space="0" w:color="auto"/>
        <w:right w:val="none" w:sz="0" w:space="0" w:color="auto"/>
      </w:divBdr>
    </w:div>
    <w:div w:id="729885754">
      <w:bodyDiv w:val="1"/>
      <w:marLeft w:val="0"/>
      <w:marRight w:val="0"/>
      <w:marTop w:val="0"/>
      <w:marBottom w:val="0"/>
      <w:divBdr>
        <w:top w:val="none" w:sz="0" w:space="0" w:color="auto"/>
        <w:left w:val="none" w:sz="0" w:space="0" w:color="auto"/>
        <w:bottom w:val="none" w:sz="0" w:space="0" w:color="auto"/>
        <w:right w:val="none" w:sz="0" w:space="0" w:color="auto"/>
      </w:divBdr>
    </w:div>
    <w:div w:id="731807309">
      <w:bodyDiv w:val="1"/>
      <w:marLeft w:val="0"/>
      <w:marRight w:val="0"/>
      <w:marTop w:val="0"/>
      <w:marBottom w:val="0"/>
      <w:divBdr>
        <w:top w:val="none" w:sz="0" w:space="0" w:color="auto"/>
        <w:left w:val="none" w:sz="0" w:space="0" w:color="auto"/>
        <w:bottom w:val="none" w:sz="0" w:space="0" w:color="auto"/>
        <w:right w:val="none" w:sz="0" w:space="0" w:color="auto"/>
      </w:divBdr>
    </w:div>
    <w:div w:id="1000354413">
      <w:bodyDiv w:val="1"/>
      <w:marLeft w:val="0"/>
      <w:marRight w:val="0"/>
      <w:marTop w:val="0"/>
      <w:marBottom w:val="0"/>
      <w:divBdr>
        <w:top w:val="none" w:sz="0" w:space="0" w:color="auto"/>
        <w:left w:val="none" w:sz="0" w:space="0" w:color="auto"/>
        <w:bottom w:val="none" w:sz="0" w:space="0" w:color="auto"/>
        <w:right w:val="none" w:sz="0" w:space="0" w:color="auto"/>
      </w:divBdr>
    </w:div>
    <w:div w:id="1204830454">
      <w:bodyDiv w:val="1"/>
      <w:marLeft w:val="0"/>
      <w:marRight w:val="0"/>
      <w:marTop w:val="0"/>
      <w:marBottom w:val="0"/>
      <w:divBdr>
        <w:top w:val="none" w:sz="0" w:space="0" w:color="auto"/>
        <w:left w:val="none" w:sz="0" w:space="0" w:color="auto"/>
        <w:bottom w:val="none" w:sz="0" w:space="0" w:color="auto"/>
        <w:right w:val="none" w:sz="0" w:space="0" w:color="auto"/>
      </w:divBdr>
    </w:div>
    <w:div w:id="1258099246">
      <w:bodyDiv w:val="1"/>
      <w:marLeft w:val="0"/>
      <w:marRight w:val="0"/>
      <w:marTop w:val="0"/>
      <w:marBottom w:val="0"/>
      <w:divBdr>
        <w:top w:val="none" w:sz="0" w:space="0" w:color="auto"/>
        <w:left w:val="none" w:sz="0" w:space="0" w:color="auto"/>
        <w:bottom w:val="none" w:sz="0" w:space="0" w:color="auto"/>
        <w:right w:val="none" w:sz="0" w:space="0" w:color="auto"/>
      </w:divBdr>
    </w:div>
    <w:div w:id="1266111337">
      <w:bodyDiv w:val="1"/>
      <w:marLeft w:val="0"/>
      <w:marRight w:val="0"/>
      <w:marTop w:val="0"/>
      <w:marBottom w:val="0"/>
      <w:divBdr>
        <w:top w:val="none" w:sz="0" w:space="0" w:color="auto"/>
        <w:left w:val="none" w:sz="0" w:space="0" w:color="auto"/>
        <w:bottom w:val="none" w:sz="0" w:space="0" w:color="auto"/>
        <w:right w:val="none" w:sz="0" w:space="0" w:color="auto"/>
      </w:divBdr>
    </w:div>
    <w:div w:id="1652827737">
      <w:bodyDiv w:val="1"/>
      <w:marLeft w:val="0"/>
      <w:marRight w:val="0"/>
      <w:marTop w:val="0"/>
      <w:marBottom w:val="0"/>
      <w:divBdr>
        <w:top w:val="none" w:sz="0" w:space="0" w:color="auto"/>
        <w:left w:val="none" w:sz="0" w:space="0" w:color="auto"/>
        <w:bottom w:val="none" w:sz="0" w:space="0" w:color="auto"/>
        <w:right w:val="none" w:sz="0" w:space="0" w:color="auto"/>
      </w:divBdr>
    </w:div>
    <w:div w:id="1780567588">
      <w:bodyDiv w:val="1"/>
      <w:marLeft w:val="0"/>
      <w:marRight w:val="0"/>
      <w:marTop w:val="0"/>
      <w:marBottom w:val="0"/>
      <w:divBdr>
        <w:top w:val="none" w:sz="0" w:space="0" w:color="auto"/>
        <w:left w:val="none" w:sz="0" w:space="0" w:color="auto"/>
        <w:bottom w:val="none" w:sz="0" w:space="0" w:color="auto"/>
        <w:right w:val="none" w:sz="0" w:space="0" w:color="auto"/>
      </w:divBdr>
    </w:div>
    <w:div w:id="1853302425">
      <w:bodyDiv w:val="1"/>
      <w:marLeft w:val="0"/>
      <w:marRight w:val="0"/>
      <w:marTop w:val="0"/>
      <w:marBottom w:val="0"/>
      <w:divBdr>
        <w:top w:val="none" w:sz="0" w:space="0" w:color="auto"/>
        <w:left w:val="none" w:sz="0" w:space="0" w:color="auto"/>
        <w:bottom w:val="none" w:sz="0" w:space="0" w:color="auto"/>
        <w:right w:val="none" w:sz="0" w:space="0" w:color="auto"/>
      </w:divBdr>
    </w:div>
    <w:div w:id="1976251025">
      <w:bodyDiv w:val="1"/>
      <w:marLeft w:val="0"/>
      <w:marRight w:val="0"/>
      <w:marTop w:val="0"/>
      <w:marBottom w:val="0"/>
      <w:divBdr>
        <w:top w:val="none" w:sz="0" w:space="0" w:color="auto"/>
        <w:left w:val="none" w:sz="0" w:space="0" w:color="auto"/>
        <w:bottom w:val="none" w:sz="0" w:space="0" w:color="auto"/>
        <w:right w:val="none" w:sz="0" w:space="0" w:color="auto"/>
      </w:divBdr>
    </w:div>
    <w:div w:id="2020883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789E5EFBE514FA51D132A2F38D02B" ma:contentTypeVersion="8" ma:contentTypeDescription="Create a new document." ma:contentTypeScope="" ma:versionID="6f10c4f7f63d461d378f9bf23de96c2c">
  <xsd:schema xmlns:xsd="http://www.w3.org/2001/XMLSchema" xmlns:xs="http://www.w3.org/2001/XMLSchema" xmlns:p="http://schemas.microsoft.com/office/2006/metadata/properties" xmlns:ns3="9db0c3eb-e822-48fd-aeec-9d53cbfd7b92" targetNamespace="http://schemas.microsoft.com/office/2006/metadata/properties" ma:root="true" ma:fieldsID="4b27f5cd0d38098af7b514b7ba51d75f" ns3:_="">
    <xsd:import namespace="9db0c3eb-e822-48fd-aeec-9d53cbfd7b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0c3eb-e822-48fd-aeec-9d53cbfd7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6021A-BB3C-47BC-B7AD-7B21BC28D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0c3eb-e822-48fd-aeec-9d53cbfd7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1EA24-FE87-4E2E-9872-7B36F337BDB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9db0c3eb-e822-48fd-aeec-9d53cbfd7b9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D42582D-D434-48DF-9052-EB7350AA12CE}">
  <ds:schemaRefs>
    <ds:schemaRef ds:uri="http://schemas.microsoft.com/sharepoint/v3/contenttype/forms"/>
  </ds:schemaRefs>
</ds:datastoreItem>
</file>

<file path=customXml/itemProps4.xml><?xml version="1.0" encoding="utf-8"?>
<ds:datastoreItem xmlns:ds="http://schemas.openxmlformats.org/officeDocument/2006/customXml" ds:itemID="{3ED2E75B-EEFE-48F7-8126-4BC7E850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1499</Words>
  <Characters>8962</Characters>
  <Application>Microsoft Office Word</Application>
  <DocSecurity>4</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abd</Company>
  <LinksUpToDate>false</LinksUpToDate>
  <CharactersWithSpaces>10441</CharactersWithSpaces>
  <SharedDoc>false</SharedDoc>
  <HLinks>
    <vt:vector size="12" baseType="variant">
      <vt:variant>
        <vt:i4>2424933</vt:i4>
      </vt:variant>
      <vt:variant>
        <vt:i4>3</vt:i4>
      </vt:variant>
      <vt:variant>
        <vt:i4>0</vt:i4>
      </vt:variant>
      <vt:variant>
        <vt:i4>5</vt:i4>
      </vt:variant>
      <vt:variant>
        <vt:lpwstr>https://www.myporec.com/hr/otkrijte-porec/ne-propustite/632</vt:lpwstr>
      </vt:variant>
      <vt:variant>
        <vt:lpwstr/>
      </vt:variant>
      <vt:variant>
        <vt:i4>393258</vt:i4>
      </vt:variant>
      <vt:variant>
        <vt:i4>0</vt:i4>
      </vt:variant>
      <vt:variant>
        <vt:i4>0</vt:i4>
      </vt:variant>
      <vt:variant>
        <vt:i4>5</vt:i4>
      </vt:variant>
      <vt:variant>
        <vt:lpwstr>mailto:bikecenterporec@gmail.com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abc jsalobe</dc:creator>
  <cp:keywords/>
  <cp:lastModifiedBy>Ivana Prekalj Martinčević</cp:lastModifiedBy>
  <cp:revision>2</cp:revision>
  <cp:lastPrinted>2018-02-06T09:57:00Z</cp:lastPrinted>
  <dcterms:created xsi:type="dcterms:W3CDTF">2019-12-19T13:45:00Z</dcterms:created>
  <dcterms:modified xsi:type="dcterms:W3CDTF">2019-12-19T13:45:00Z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0x010100BBF789E5EFBE514FA51D132A2F38D02B</vt:lpwstr>
  </property>
</Properties>
</file>